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3CE" w:rsidRDefault="008153CE" w:rsidP="002246FD">
      <w:pPr>
        <w:spacing w:after="0" w:line="240" w:lineRule="auto"/>
        <w:jc w:val="center"/>
        <w:rPr>
          <w:rFonts w:ascii="Arial" w:hAnsi="Arial" w:cs="Arial"/>
          <w:b/>
          <w:sz w:val="24"/>
          <w:szCs w:val="24"/>
        </w:rPr>
      </w:pPr>
      <w:bookmarkStart w:id="0" w:name="_Toc326045663"/>
    </w:p>
    <w:p w:rsidR="002246FD" w:rsidRPr="000556A9" w:rsidRDefault="002246FD" w:rsidP="002246FD">
      <w:pPr>
        <w:spacing w:after="0" w:line="240" w:lineRule="auto"/>
        <w:jc w:val="center"/>
        <w:rPr>
          <w:rFonts w:ascii="Arial" w:hAnsi="Arial" w:cs="Arial"/>
          <w:b/>
          <w:sz w:val="24"/>
          <w:szCs w:val="24"/>
        </w:rPr>
      </w:pPr>
      <w:r w:rsidRPr="000556A9">
        <w:rPr>
          <w:rFonts w:ascii="Arial" w:hAnsi="Arial" w:cs="Arial"/>
          <w:b/>
          <w:sz w:val="24"/>
          <w:szCs w:val="24"/>
        </w:rPr>
        <w:t>UNIVERSIDAD NACIONAL</w:t>
      </w:r>
    </w:p>
    <w:p w:rsidR="002246FD" w:rsidRPr="000556A9" w:rsidRDefault="002246FD" w:rsidP="002246FD">
      <w:pPr>
        <w:spacing w:after="0" w:line="240" w:lineRule="auto"/>
        <w:jc w:val="center"/>
        <w:rPr>
          <w:rFonts w:ascii="Arial" w:hAnsi="Arial" w:cs="Arial"/>
          <w:b/>
          <w:sz w:val="24"/>
          <w:szCs w:val="24"/>
        </w:rPr>
      </w:pPr>
      <w:r w:rsidRPr="000556A9">
        <w:rPr>
          <w:rFonts w:ascii="Arial" w:hAnsi="Arial" w:cs="Arial"/>
          <w:b/>
          <w:sz w:val="24"/>
          <w:szCs w:val="24"/>
        </w:rPr>
        <w:t>RESUMEN DE LAS PRINCIPALES POLITICAS CONTABLES Y PRESPUESTARIAS</w:t>
      </w:r>
    </w:p>
    <w:p w:rsidR="002246FD" w:rsidRDefault="002246FD" w:rsidP="002246FD">
      <w:pPr>
        <w:spacing w:after="0" w:line="240" w:lineRule="auto"/>
        <w:jc w:val="center"/>
        <w:rPr>
          <w:rFonts w:ascii="Arial" w:hAnsi="Arial" w:cs="Arial"/>
          <w:b/>
          <w:sz w:val="24"/>
          <w:szCs w:val="24"/>
        </w:rPr>
      </w:pPr>
      <w:r w:rsidRPr="000556A9">
        <w:rPr>
          <w:rFonts w:ascii="Arial" w:hAnsi="Arial" w:cs="Arial"/>
          <w:b/>
          <w:sz w:val="24"/>
          <w:szCs w:val="24"/>
        </w:rPr>
        <w:t>AL 3</w:t>
      </w:r>
      <w:r w:rsidR="00B12C34">
        <w:rPr>
          <w:rFonts w:ascii="Arial" w:hAnsi="Arial" w:cs="Arial"/>
          <w:b/>
          <w:sz w:val="24"/>
          <w:szCs w:val="24"/>
        </w:rPr>
        <w:t>1</w:t>
      </w:r>
      <w:r w:rsidRPr="000556A9">
        <w:rPr>
          <w:rFonts w:ascii="Arial" w:hAnsi="Arial" w:cs="Arial"/>
          <w:b/>
          <w:sz w:val="24"/>
          <w:szCs w:val="24"/>
        </w:rPr>
        <w:t xml:space="preserve"> DE </w:t>
      </w:r>
      <w:r w:rsidR="00CF3C8D">
        <w:rPr>
          <w:rFonts w:ascii="Arial" w:hAnsi="Arial" w:cs="Arial"/>
          <w:b/>
          <w:sz w:val="24"/>
          <w:szCs w:val="24"/>
        </w:rPr>
        <w:t>ENERO</w:t>
      </w:r>
      <w:r w:rsidRPr="000556A9">
        <w:rPr>
          <w:rFonts w:ascii="Arial" w:hAnsi="Arial" w:cs="Arial"/>
          <w:b/>
          <w:sz w:val="24"/>
          <w:szCs w:val="24"/>
        </w:rPr>
        <w:t xml:space="preserve"> DEL </w:t>
      </w:r>
      <w:r w:rsidR="005F5843">
        <w:rPr>
          <w:rFonts w:ascii="Arial" w:hAnsi="Arial" w:cs="Arial"/>
          <w:b/>
          <w:sz w:val="24"/>
          <w:szCs w:val="24"/>
        </w:rPr>
        <w:t>201</w:t>
      </w:r>
      <w:r w:rsidR="00CF3C8D">
        <w:rPr>
          <w:rFonts w:ascii="Arial" w:hAnsi="Arial" w:cs="Arial"/>
          <w:b/>
          <w:sz w:val="24"/>
          <w:szCs w:val="24"/>
        </w:rPr>
        <w:t>9</w:t>
      </w:r>
    </w:p>
    <w:p w:rsidR="005F5843" w:rsidRPr="000556A9" w:rsidRDefault="005F5843" w:rsidP="002246FD">
      <w:pPr>
        <w:spacing w:after="0" w:line="240" w:lineRule="auto"/>
        <w:jc w:val="center"/>
        <w:rPr>
          <w:rFonts w:ascii="Arial" w:hAnsi="Arial" w:cs="Arial"/>
          <w:b/>
          <w:sz w:val="24"/>
          <w:szCs w:val="24"/>
        </w:rPr>
      </w:pPr>
    </w:p>
    <w:p w:rsidR="002246FD" w:rsidRDefault="002246FD" w:rsidP="006F6E56">
      <w:pPr>
        <w:pStyle w:val="Ttulo1"/>
        <w:rPr>
          <w:rFonts w:ascii="Arial" w:hAnsi="Arial" w:cs="Arial"/>
          <w:sz w:val="24"/>
          <w:szCs w:val="24"/>
        </w:rPr>
      </w:pPr>
    </w:p>
    <w:p w:rsidR="006F6E56" w:rsidRPr="00F5251C" w:rsidRDefault="006F6E56" w:rsidP="006F6E56">
      <w:pPr>
        <w:pStyle w:val="Ttulo1"/>
        <w:rPr>
          <w:rFonts w:ascii="Arial" w:hAnsi="Arial" w:cs="Arial"/>
          <w:sz w:val="24"/>
          <w:szCs w:val="24"/>
        </w:rPr>
      </w:pPr>
      <w:r w:rsidRPr="00F5251C">
        <w:rPr>
          <w:rFonts w:ascii="Arial" w:hAnsi="Arial" w:cs="Arial"/>
          <w:sz w:val="24"/>
          <w:szCs w:val="24"/>
        </w:rPr>
        <w:t xml:space="preserve">NOTA </w:t>
      </w:r>
      <w:r w:rsidR="002246FD">
        <w:rPr>
          <w:rFonts w:ascii="Arial" w:hAnsi="Arial" w:cs="Arial"/>
          <w:sz w:val="24"/>
          <w:szCs w:val="24"/>
        </w:rPr>
        <w:t>No.1</w:t>
      </w:r>
      <w:r w:rsidRPr="00F5251C">
        <w:rPr>
          <w:rFonts w:ascii="Arial" w:hAnsi="Arial" w:cs="Arial"/>
          <w:sz w:val="24"/>
          <w:szCs w:val="24"/>
        </w:rPr>
        <w:t>. CONSTITUCION Y ACTIVIDADES</w:t>
      </w:r>
      <w:bookmarkEnd w:id="0"/>
    </w:p>
    <w:p w:rsidR="006F6E56" w:rsidRPr="00F5251C" w:rsidRDefault="006F6E56" w:rsidP="006F6E56">
      <w:pPr>
        <w:spacing w:after="0" w:line="240" w:lineRule="auto"/>
        <w:rPr>
          <w:rFonts w:ascii="Arial" w:hAnsi="Arial" w:cs="Arial"/>
          <w:sz w:val="24"/>
          <w:szCs w:val="24"/>
        </w:rPr>
      </w:pPr>
      <w:r w:rsidRPr="00F5251C">
        <w:rPr>
          <w:rFonts w:ascii="Arial" w:hAnsi="Arial" w:cs="Arial"/>
          <w:sz w:val="24"/>
          <w:szCs w:val="24"/>
        </w:rPr>
        <w:t xml:space="preserve">La Universidad Nacional es una institución autónoma de enseñanza superior sin fines de lucro creada por Ley de </w:t>
      </w:r>
      <w:smartTag w:uri="urn:schemas-microsoft-com:office:smarttags" w:element="PersonName">
        <w:smartTagPr>
          <w:attr w:name="ProductID" w:val="la Rep￺blica No.5182"/>
        </w:smartTagPr>
        <w:r w:rsidRPr="00F5251C">
          <w:rPr>
            <w:rFonts w:ascii="Arial" w:hAnsi="Arial" w:cs="Arial"/>
            <w:sz w:val="24"/>
            <w:szCs w:val="24"/>
          </w:rPr>
          <w:t>la República No.5182</w:t>
        </w:r>
      </w:smartTag>
      <w:r w:rsidRPr="00F5251C">
        <w:rPr>
          <w:rFonts w:ascii="Arial" w:hAnsi="Arial" w:cs="Arial"/>
          <w:sz w:val="24"/>
          <w:szCs w:val="24"/>
        </w:rPr>
        <w:t xml:space="preserve"> el 15 de febrero de 1973, con sede en la provincia de Heredia, y como una institución estatal autónoma de educación superior con plena independencia en el desempeño de sus funciones y capacidad jurídica otorgada por </w:t>
      </w:r>
      <w:smartTag w:uri="urn:schemas-microsoft-com:office:smarttags" w:element="PersonName">
        <w:smartTagPr>
          <w:attr w:name="ProductID" w:val="la Constituci￳n Pol￭tica"/>
        </w:smartTagPr>
        <w:r w:rsidRPr="00F5251C">
          <w:rPr>
            <w:rFonts w:ascii="Arial" w:hAnsi="Arial" w:cs="Arial"/>
            <w:sz w:val="24"/>
            <w:szCs w:val="24"/>
          </w:rPr>
          <w:t>la Constitución Política</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de Costa Rica.</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rPr>
          <w:rFonts w:ascii="Arial" w:hAnsi="Arial" w:cs="Arial"/>
          <w:sz w:val="24"/>
          <w:szCs w:val="24"/>
        </w:rPr>
      </w:pP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 xml:space="preserve"> tendrá como fines principales:</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ind w:firstLine="708"/>
        <w:rPr>
          <w:rFonts w:ascii="Arial" w:hAnsi="Arial" w:cs="Arial"/>
          <w:sz w:val="24"/>
          <w:szCs w:val="24"/>
        </w:rPr>
      </w:pPr>
      <w:r w:rsidRPr="00F5251C">
        <w:rPr>
          <w:rFonts w:ascii="Arial" w:hAnsi="Arial" w:cs="Arial"/>
          <w:sz w:val="24"/>
          <w:szCs w:val="24"/>
        </w:rPr>
        <w:t xml:space="preserve">a) </w:t>
      </w:r>
      <w:r w:rsidRPr="00F5251C">
        <w:rPr>
          <w:rFonts w:ascii="Arial" w:hAnsi="Arial" w:cs="Arial"/>
          <w:sz w:val="24"/>
          <w:szCs w:val="24"/>
        </w:rPr>
        <w:tab/>
        <w:t>Crear, conservar y trasmitir la cultura; y</w:t>
      </w:r>
    </w:p>
    <w:p w:rsidR="006F6E56" w:rsidRPr="00F5251C" w:rsidRDefault="006F6E56" w:rsidP="006F6E56">
      <w:pPr>
        <w:autoSpaceDE w:val="0"/>
        <w:autoSpaceDN w:val="0"/>
        <w:adjustRightInd w:val="0"/>
        <w:spacing w:after="0" w:line="240" w:lineRule="auto"/>
        <w:ind w:firstLine="708"/>
        <w:rPr>
          <w:rFonts w:ascii="Arial" w:hAnsi="Arial" w:cs="Arial"/>
          <w:sz w:val="24"/>
          <w:szCs w:val="24"/>
        </w:rPr>
      </w:pPr>
      <w:r w:rsidRPr="00F5251C">
        <w:rPr>
          <w:rFonts w:ascii="Arial" w:hAnsi="Arial" w:cs="Arial"/>
          <w:sz w:val="24"/>
          <w:szCs w:val="24"/>
        </w:rPr>
        <w:t xml:space="preserve">b) </w:t>
      </w:r>
      <w:r w:rsidRPr="00F5251C">
        <w:rPr>
          <w:rFonts w:ascii="Arial" w:hAnsi="Arial" w:cs="Arial"/>
          <w:sz w:val="24"/>
          <w:szCs w:val="24"/>
        </w:rPr>
        <w:tab/>
        <w:t>Ofrecer una educación integral a los estudiantes.</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autoSpaceDE w:val="0"/>
        <w:autoSpaceDN w:val="0"/>
        <w:adjustRightInd w:val="0"/>
        <w:spacing w:after="0" w:line="240" w:lineRule="auto"/>
        <w:rPr>
          <w:rFonts w:ascii="Arial" w:hAnsi="Arial" w:cs="Arial"/>
          <w:sz w:val="24"/>
          <w:szCs w:val="24"/>
        </w:rPr>
      </w:pPr>
      <w:r w:rsidRPr="00F5251C">
        <w:rPr>
          <w:rFonts w:ascii="Arial" w:hAnsi="Arial" w:cs="Arial"/>
          <w:sz w:val="24"/>
          <w:szCs w:val="24"/>
        </w:rPr>
        <w:t xml:space="preserve">Serán funciones de </w:t>
      </w: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w:t>
      </w:r>
    </w:p>
    <w:p w:rsidR="006F6E56" w:rsidRPr="00F5251C" w:rsidRDefault="006F6E56" w:rsidP="006F6E56">
      <w:pPr>
        <w:autoSpaceDE w:val="0"/>
        <w:autoSpaceDN w:val="0"/>
        <w:adjustRightInd w:val="0"/>
        <w:spacing w:after="0" w:line="240" w:lineRule="auto"/>
        <w:rPr>
          <w:rFonts w:ascii="Arial" w:hAnsi="Arial" w:cs="Arial"/>
          <w:sz w:val="24"/>
          <w:szCs w:val="24"/>
        </w:rPr>
      </w:pP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Desarrollar el estudio de la investigación científica para contribuir al mejoramiento de la vida espiritual, política y social del país;</w:t>
      </w: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 xml:space="preserve">Preparar investigadores y profesionales de nivel superior en todos los campos, y el profesorado necesario en los diversos niveles del sistema educativo del país, manteniendo en sus sedes actuales Sede Central,  Sede Chorotega, Sede </w:t>
      </w:r>
      <w:proofErr w:type="spellStart"/>
      <w:r w:rsidRPr="00F5251C">
        <w:rPr>
          <w:rFonts w:ascii="Arial" w:hAnsi="Arial" w:cs="Arial"/>
          <w:sz w:val="24"/>
          <w:szCs w:val="24"/>
        </w:rPr>
        <w:t>Brunca</w:t>
      </w:r>
      <w:proofErr w:type="spellEnd"/>
      <w:r w:rsidRPr="00F5251C">
        <w:rPr>
          <w:rFonts w:ascii="Arial" w:hAnsi="Arial" w:cs="Arial"/>
          <w:sz w:val="24"/>
          <w:szCs w:val="24"/>
        </w:rPr>
        <w:t xml:space="preserve">, Recinto Coto y Recinto </w:t>
      </w:r>
      <w:r w:rsidR="00B12C34" w:rsidRPr="00F5251C">
        <w:rPr>
          <w:rFonts w:ascii="Arial" w:hAnsi="Arial" w:cs="Arial"/>
          <w:sz w:val="24"/>
          <w:szCs w:val="24"/>
        </w:rPr>
        <w:t>Sarapiquí</w:t>
      </w:r>
      <w:r w:rsidRPr="00F5251C">
        <w:rPr>
          <w:rFonts w:ascii="Arial" w:hAnsi="Arial" w:cs="Arial"/>
          <w:sz w:val="24"/>
          <w:szCs w:val="24"/>
        </w:rPr>
        <w:t>.</w:t>
      </w:r>
    </w:p>
    <w:p w:rsidR="006F6E56" w:rsidRPr="00F5251C" w:rsidRDefault="006F6E56" w:rsidP="006F6E56">
      <w:pPr>
        <w:numPr>
          <w:ilvl w:val="0"/>
          <w:numId w:val="4"/>
        </w:numPr>
        <w:autoSpaceDE w:val="0"/>
        <w:autoSpaceDN w:val="0"/>
        <w:adjustRightInd w:val="0"/>
        <w:spacing w:after="0" w:line="240" w:lineRule="auto"/>
        <w:ind w:left="1418" w:hanging="709"/>
        <w:rPr>
          <w:rFonts w:ascii="Arial" w:hAnsi="Arial" w:cs="Arial"/>
          <w:sz w:val="24"/>
          <w:szCs w:val="24"/>
        </w:rPr>
      </w:pPr>
      <w:r w:rsidRPr="00F5251C">
        <w:rPr>
          <w:rFonts w:ascii="Arial" w:hAnsi="Arial" w:cs="Arial"/>
          <w:sz w:val="24"/>
          <w:szCs w:val="24"/>
        </w:rPr>
        <w:t>Fomentar la extensión de la cultura en la vida nacional.</w:t>
      </w:r>
    </w:p>
    <w:p w:rsidR="006F6E56" w:rsidRPr="00F5251C" w:rsidRDefault="006F6E56" w:rsidP="006F6E56">
      <w:pPr>
        <w:widowControl w:val="0"/>
        <w:autoSpaceDE w:val="0"/>
        <w:autoSpaceDN w:val="0"/>
        <w:adjustRightInd w:val="0"/>
        <w:spacing w:after="0" w:line="240" w:lineRule="auto"/>
        <w:rPr>
          <w:rFonts w:ascii="Arial" w:hAnsi="Arial" w:cs="Arial"/>
          <w:sz w:val="24"/>
          <w:szCs w:val="24"/>
          <w:lang w:eastAsia="es-ES"/>
        </w:rPr>
      </w:pPr>
    </w:p>
    <w:p w:rsidR="006F6E56" w:rsidRPr="00F5251C" w:rsidRDefault="006F6E56" w:rsidP="006F6E56">
      <w:pPr>
        <w:spacing w:after="0" w:line="240" w:lineRule="auto"/>
        <w:rPr>
          <w:rFonts w:ascii="Arial" w:hAnsi="Arial" w:cs="Arial"/>
          <w:sz w:val="24"/>
          <w:szCs w:val="24"/>
        </w:rPr>
      </w:pPr>
      <w:r w:rsidRPr="00F5251C">
        <w:rPr>
          <w:rFonts w:ascii="Arial" w:hAnsi="Arial" w:cs="Arial"/>
          <w:sz w:val="24"/>
          <w:szCs w:val="24"/>
        </w:rPr>
        <w:t xml:space="preserve">La principal fuente de ingresos de </w:t>
      </w:r>
      <w:smartTag w:uri="urn:schemas-microsoft-com:office:smarttags" w:element="PersonName">
        <w:smartTagPr>
          <w:attr w:name="ProductID" w:val="la Universidad Nacional"/>
        </w:smartTagPr>
        <w:r w:rsidRPr="00F5251C">
          <w:rPr>
            <w:rFonts w:ascii="Arial" w:hAnsi="Arial" w:cs="Arial"/>
            <w:sz w:val="24"/>
            <w:szCs w:val="24"/>
          </w:rPr>
          <w:t>la Universidad Nacional</w:t>
        </w:r>
      </w:smartTag>
      <w:r w:rsidRPr="00F5251C">
        <w:rPr>
          <w:rFonts w:ascii="Arial" w:hAnsi="Arial" w:cs="Arial"/>
          <w:sz w:val="24"/>
          <w:szCs w:val="24"/>
        </w:rPr>
        <w:t xml:space="preserve"> lo constituyen los fondos corrientes del Estado por medio del Fondo Especial para el Financiamiento de </w:t>
      </w:r>
      <w:smartTag w:uri="urn:schemas-microsoft-com:office:smarttags" w:element="PersonName">
        <w:smartTagPr>
          <w:attr w:name="ProductID" w:val="la Educaci￳n Superior"/>
        </w:smartTagPr>
        <w:r w:rsidRPr="00F5251C">
          <w:rPr>
            <w:rFonts w:ascii="Arial" w:hAnsi="Arial" w:cs="Arial"/>
            <w:sz w:val="24"/>
            <w:szCs w:val="24"/>
          </w:rPr>
          <w:t>la Educación Superior</w:t>
        </w:r>
      </w:smartTag>
      <w:r w:rsidRPr="00F5251C">
        <w:rPr>
          <w:rFonts w:ascii="Arial" w:hAnsi="Arial" w:cs="Arial"/>
          <w:sz w:val="24"/>
          <w:szCs w:val="24"/>
        </w:rPr>
        <w:t xml:space="preserve"> “Ley No.5909” y otras subvenciones que se incluyen anualmente en el presupuesto nacional.  Otros ingresos que se perciben son producto del giro normal de operaciones como son los derechos que se cobran a los estudiantes, venta de bienes y servicios, donaciones e intereses sobre las inversiones.</w:t>
      </w:r>
    </w:p>
    <w:p w:rsidR="006F6E56" w:rsidRPr="00F5251C"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r w:rsidRPr="00F5251C">
        <w:rPr>
          <w:rFonts w:ascii="Arial" w:hAnsi="Arial" w:cs="Arial"/>
          <w:sz w:val="24"/>
          <w:szCs w:val="24"/>
        </w:rPr>
        <w:t xml:space="preserve">Finalmente, se indica que la institución está regida,  entre otras, por </w:t>
      </w:r>
      <w:smartTag w:uri="urn:schemas-microsoft-com:office:smarttags" w:element="PersonName">
        <w:smartTagPr>
          <w:attr w:name="ProductID" w:val="la Ley"/>
        </w:smartTagPr>
        <w:r w:rsidRPr="00F5251C">
          <w:rPr>
            <w:rFonts w:ascii="Arial" w:hAnsi="Arial" w:cs="Arial"/>
            <w:sz w:val="24"/>
            <w:szCs w:val="24"/>
          </w:rPr>
          <w:t>la Ley</w:t>
        </w:r>
      </w:smartTag>
      <w:r w:rsidRPr="00F5251C">
        <w:rPr>
          <w:rFonts w:ascii="Arial" w:hAnsi="Arial" w:cs="Arial"/>
          <w:sz w:val="24"/>
          <w:szCs w:val="24"/>
        </w:rPr>
        <w:t xml:space="preserve"> de </w:t>
      </w:r>
      <w:smartTag w:uri="urn:schemas-microsoft-com:office:smarttags" w:element="PersonName">
        <w:smartTagPr>
          <w:attr w:name="ProductID" w:val="la Administraci￳n Financiera"/>
        </w:smartTagPr>
        <w:r w:rsidRPr="00F5251C">
          <w:rPr>
            <w:rFonts w:ascii="Arial" w:hAnsi="Arial" w:cs="Arial"/>
            <w:sz w:val="24"/>
            <w:szCs w:val="24"/>
          </w:rPr>
          <w:t>la Administración Financiera</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y Presupuestos Públicos No.8131 de setiembre del 2001, en lo concerniente al título 2, </w:t>
      </w:r>
      <w:smartTag w:uri="urn:schemas-microsoft-com:office:smarttags" w:element="PersonName">
        <w:smartTagPr>
          <w:attr w:name="ProductID" w:val="la Ley"/>
        </w:smartTagPr>
        <w:r w:rsidRPr="00F5251C">
          <w:rPr>
            <w:rFonts w:ascii="Arial" w:hAnsi="Arial" w:cs="Arial"/>
            <w:sz w:val="24"/>
            <w:szCs w:val="24"/>
          </w:rPr>
          <w:t>la Ley</w:t>
        </w:r>
      </w:smartTag>
      <w:r w:rsidRPr="00F5251C">
        <w:rPr>
          <w:rFonts w:ascii="Arial" w:hAnsi="Arial" w:cs="Arial"/>
          <w:sz w:val="24"/>
          <w:szCs w:val="24"/>
        </w:rPr>
        <w:t xml:space="preserve"> de Contratación Administrativa y un conjunto de normas de presupuesto y auditoría cuya fiscalización está a cargo de </w:t>
      </w:r>
      <w:smartTag w:uri="urn:schemas-microsoft-com:office:smarttags" w:element="PersonName">
        <w:smartTagPr>
          <w:attr w:name="ProductID" w:val="la Contralor￭a General"/>
        </w:smartTagPr>
        <w:r w:rsidRPr="00F5251C">
          <w:rPr>
            <w:rFonts w:ascii="Arial" w:hAnsi="Arial" w:cs="Arial"/>
            <w:sz w:val="24"/>
            <w:szCs w:val="24"/>
          </w:rPr>
          <w:t>la Contraloría General</w:t>
        </w:r>
      </w:smartTag>
      <w:r w:rsidRPr="00F5251C">
        <w:rPr>
          <w:rFonts w:ascii="Arial" w:hAnsi="Arial" w:cs="Arial"/>
          <w:sz w:val="24"/>
          <w:szCs w:val="24"/>
        </w:rPr>
        <w:t xml:space="preserve"> de </w:t>
      </w:r>
      <w:smartTag w:uri="urn:schemas-microsoft-com:office:smarttags" w:element="PersonName">
        <w:smartTagPr>
          <w:attr w:name="ProductID" w:val="la Rep￺blica"/>
        </w:smartTagPr>
        <w:r w:rsidRPr="00F5251C">
          <w:rPr>
            <w:rFonts w:ascii="Arial" w:hAnsi="Arial" w:cs="Arial"/>
            <w:sz w:val="24"/>
            <w:szCs w:val="24"/>
          </w:rPr>
          <w:t>la República</w:t>
        </w:r>
      </w:smartTag>
      <w:r w:rsidRPr="00F5251C">
        <w:rPr>
          <w:rFonts w:ascii="Arial" w:hAnsi="Arial" w:cs="Arial"/>
          <w:sz w:val="24"/>
          <w:szCs w:val="24"/>
        </w:rPr>
        <w:t xml:space="preserve"> y la Contraloría Universitaria.</w:t>
      </w: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6F6E56" w:rsidRDefault="006F6E56" w:rsidP="006F6E56">
      <w:pPr>
        <w:spacing w:after="0" w:line="240" w:lineRule="auto"/>
        <w:rPr>
          <w:rFonts w:ascii="Arial" w:hAnsi="Arial" w:cs="Arial"/>
          <w:sz w:val="24"/>
          <w:szCs w:val="24"/>
        </w:rPr>
      </w:pPr>
    </w:p>
    <w:p w:rsidR="00AB5181" w:rsidRPr="00F5251C" w:rsidRDefault="00AB5181" w:rsidP="00AB5181">
      <w:pPr>
        <w:pStyle w:val="Ttulo1"/>
        <w:rPr>
          <w:rFonts w:ascii="Arial" w:hAnsi="Arial" w:cs="Arial"/>
          <w:sz w:val="24"/>
          <w:szCs w:val="24"/>
        </w:rPr>
      </w:pPr>
      <w:bookmarkStart w:id="1" w:name="_Toc326045664"/>
      <w:r w:rsidRPr="00F5251C">
        <w:rPr>
          <w:rFonts w:ascii="Arial" w:hAnsi="Arial" w:cs="Arial"/>
          <w:sz w:val="24"/>
          <w:szCs w:val="24"/>
        </w:rPr>
        <w:lastRenderedPageBreak/>
        <w:t xml:space="preserve">NOTA </w:t>
      </w:r>
      <w:r w:rsidR="008164C3">
        <w:rPr>
          <w:rFonts w:ascii="Arial" w:hAnsi="Arial" w:cs="Arial"/>
          <w:sz w:val="24"/>
          <w:szCs w:val="24"/>
        </w:rPr>
        <w:t>No.2</w:t>
      </w:r>
      <w:r w:rsidRPr="00F5251C">
        <w:rPr>
          <w:rFonts w:ascii="Arial" w:hAnsi="Arial" w:cs="Arial"/>
          <w:sz w:val="24"/>
          <w:szCs w:val="24"/>
        </w:rPr>
        <w:t xml:space="preserve">.  </w:t>
      </w:r>
      <w:r w:rsidR="00863D6C" w:rsidRPr="00F5251C">
        <w:rPr>
          <w:rFonts w:ascii="Arial" w:hAnsi="Arial" w:cs="Arial"/>
          <w:sz w:val="24"/>
          <w:szCs w:val="24"/>
        </w:rPr>
        <w:t>PRINCIPIOS</w:t>
      </w:r>
      <w:r w:rsidR="00863D6C">
        <w:rPr>
          <w:rFonts w:ascii="Arial" w:hAnsi="Arial" w:cs="Arial"/>
          <w:sz w:val="24"/>
          <w:szCs w:val="24"/>
        </w:rPr>
        <w:t>,</w:t>
      </w:r>
      <w:r w:rsidRPr="00F5251C">
        <w:rPr>
          <w:rFonts w:ascii="Arial" w:hAnsi="Arial" w:cs="Arial"/>
          <w:sz w:val="24"/>
          <w:szCs w:val="24"/>
        </w:rPr>
        <w:t xml:space="preserve"> POLÍTICAS</w:t>
      </w:r>
      <w:bookmarkEnd w:id="1"/>
      <w:r w:rsidRPr="00F5251C">
        <w:rPr>
          <w:rFonts w:ascii="Arial" w:hAnsi="Arial" w:cs="Arial"/>
          <w:sz w:val="24"/>
          <w:szCs w:val="24"/>
        </w:rPr>
        <w:t xml:space="preserve">  </w:t>
      </w:r>
      <w:r w:rsidR="00E55246">
        <w:rPr>
          <w:rFonts w:ascii="Arial" w:hAnsi="Arial" w:cs="Arial"/>
          <w:sz w:val="24"/>
          <w:szCs w:val="24"/>
        </w:rPr>
        <w:t>Y</w:t>
      </w:r>
      <w:r w:rsidR="008164C3">
        <w:rPr>
          <w:rFonts w:ascii="Arial" w:hAnsi="Arial" w:cs="Arial"/>
          <w:sz w:val="24"/>
          <w:szCs w:val="24"/>
        </w:rPr>
        <w:t xml:space="preserve"> </w:t>
      </w:r>
      <w:r w:rsidR="00E55246">
        <w:rPr>
          <w:rFonts w:ascii="Arial" w:hAnsi="Arial" w:cs="Arial"/>
          <w:sz w:val="24"/>
          <w:szCs w:val="24"/>
        </w:rPr>
        <w:t>PRÁCTICAS</w:t>
      </w:r>
      <w:r w:rsidR="008164C3">
        <w:rPr>
          <w:rFonts w:ascii="Arial" w:hAnsi="Arial" w:cs="Arial"/>
          <w:sz w:val="24"/>
          <w:szCs w:val="24"/>
        </w:rPr>
        <w:t xml:space="preserve"> CONTABLES</w:t>
      </w:r>
    </w:p>
    <w:p w:rsidR="00AB5181" w:rsidRPr="00F5251C" w:rsidRDefault="00AB5181" w:rsidP="00AB5181">
      <w:pPr>
        <w:spacing w:after="0" w:line="240" w:lineRule="auto"/>
        <w:rPr>
          <w:rFonts w:ascii="Arial" w:hAnsi="Arial" w:cs="Arial"/>
          <w:sz w:val="24"/>
          <w:szCs w:val="24"/>
        </w:rPr>
      </w:pPr>
    </w:p>
    <w:p w:rsidR="002C1671" w:rsidRDefault="008153CE" w:rsidP="002C1671">
      <w:pPr>
        <w:spacing w:after="0" w:line="240" w:lineRule="auto"/>
        <w:ind w:left="720"/>
        <w:rPr>
          <w:rFonts w:ascii="Arial" w:hAnsi="Arial" w:cs="Arial"/>
          <w:b/>
          <w:sz w:val="24"/>
          <w:szCs w:val="24"/>
          <w:lang w:eastAsia="es-CR"/>
        </w:rPr>
      </w:pPr>
      <w:r>
        <w:rPr>
          <w:rFonts w:ascii="Arial" w:hAnsi="Arial" w:cs="Arial"/>
          <w:b/>
          <w:sz w:val="24"/>
          <w:szCs w:val="24"/>
          <w:lang w:eastAsia="es-CR"/>
        </w:rPr>
        <w:t>Normas Internacionales de Contabilidad</w:t>
      </w:r>
    </w:p>
    <w:p w:rsidR="008153CE" w:rsidRDefault="008153CE" w:rsidP="002C1671">
      <w:pPr>
        <w:spacing w:after="0" w:line="240" w:lineRule="auto"/>
        <w:ind w:left="720"/>
        <w:rPr>
          <w:rFonts w:ascii="Arial" w:hAnsi="Arial" w:cs="Arial"/>
          <w:sz w:val="24"/>
          <w:szCs w:val="24"/>
          <w:lang w:eastAsia="es-CR"/>
        </w:rPr>
      </w:pPr>
    </w:p>
    <w:p w:rsidR="008153CE" w:rsidRDefault="00AA0F8F" w:rsidP="00692B0D">
      <w:pPr>
        <w:spacing w:line="240" w:lineRule="auto"/>
        <w:outlineLvl w:val="0"/>
        <w:rPr>
          <w:rFonts w:ascii="Arial" w:hAnsi="Arial" w:cs="Arial"/>
          <w:bCs/>
          <w:color w:val="000000"/>
        </w:rPr>
      </w:pPr>
      <w:r w:rsidRPr="004C1F1A">
        <w:rPr>
          <w:rFonts w:ascii="Arial" w:hAnsi="Arial" w:cs="Arial"/>
          <w:bCs/>
          <w:color w:val="000000"/>
        </w:rPr>
        <w:t xml:space="preserve">Los Estados Financieros, se han  elaborado y emitido de acuerdo </w:t>
      </w:r>
      <w:r w:rsidR="008153CE">
        <w:rPr>
          <w:rFonts w:ascii="Arial" w:hAnsi="Arial" w:cs="Arial"/>
          <w:bCs/>
          <w:color w:val="000000"/>
        </w:rPr>
        <w:t xml:space="preserve">a las Normas Internacionales de Contabilidad a excepción de la política contable NICSP17 “Propiedad Planta y Equipo” que la Universidad se acogió a la aplicación del transitorio establecido, </w:t>
      </w:r>
      <w:r w:rsidR="00533C0F">
        <w:rPr>
          <w:rFonts w:ascii="Arial" w:hAnsi="Arial" w:cs="Arial"/>
          <w:bCs/>
          <w:color w:val="000000"/>
        </w:rPr>
        <w:t xml:space="preserve">y las </w:t>
      </w:r>
      <w:r w:rsidR="00AC4D1B">
        <w:rPr>
          <w:rFonts w:ascii="Arial" w:hAnsi="Arial" w:cs="Arial"/>
          <w:bCs/>
          <w:color w:val="000000"/>
        </w:rPr>
        <w:t xml:space="preserve">NICSP 19 “Provisiones, pasivos y activos contingentes”, NICSP 21 “Deterioro del valor de los activos no financieros”  y NICSP 23 “ Ingreso de transacciones sin contraprestación” </w:t>
      </w:r>
      <w:r w:rsidR="008153CE">
        <w:rPr>
          <w:rFonts w:ascii="Arial" w:hAnsi="Arial" w:cs="Arial"/>
          <w:bCs/>
          <w:color w:val="000000"/>
        </w:rPr>
        <w:t xml:space="preserve"> de acuerdo al Decreto Ejecutivo No.41039-MH “Cierre de brechas en la normativa Contable Internacional en el Sector Público Costarricense y adopción y/o adaptación de la nueva normativa”, indica en su artículo No.3, que el plazo máximo para el cierre de brechas y la implementación de las Normas Internacionales de Contabilidad, será hasta el 01 del 2020</w:t>
      </w:r>
      <w:r w:rsidR="00AC4D1B">
        <w:rPr>
          <w:rFonts w:ascii="Arial" w:hAnsi="Arial" w:cs="Arial"/>
          <w:bCs/>
          <w:color w:val="000000"/>
        </w:rPr>
        <w:t>.</w:t>
      </w:r>
      <w:r w:rsidR="00533C0F">
        <w:rPr>
          <w:rFonts w:ascii="Arial" w:hAnsi="Arial" w:cs="Arial"/>
          <w:bCs/>
          <w:color w:val="000000"/>
        </w:rPr>
        <w:t xml:space="preserve"> </w:t>
      </w:r>
    </w:p>
    <w:p w:rsidR="008153CE" w:rsidRDefault="008153CE" w:rsidP="00692B0D">
      <w:pPr>
        <w:spacing w:line="240" w:lineRule="auto"/>
        <w:outlineLvl w:val="0"/>
        <w:rPr>
          <w:rFonts w:ascii="Arial" w:hAnsi="Arial" w:cs="Arial"/>
          <w:bCs/>
          <w:color w:val="000000"/>
        </w:rPr>
      </w:pPr>
    </w:p>
    <w:p w:rsidR="001455BF" w:rsidRPr="003B0236" w:rsidRDefault="001455BF" w:rsidP="001455BF">
      <w:pPr>
        <w:pStyle w:val="Prrafodelista"/>
        <w:ind w:left="0"/>
        <w:outlineLvl w:val="0"/>
        <w:rPr>
          <w:rFonts w:ascii="Arial" w:hAnsi="Arial" w:cs="Arial"/>
          <w:b/>
          <w:bCs/>
          <w:color w:val="000000"/>
        </w:rPr>
      </w:pPr>
      <w:r w:rsidRPr="003B0236">
        <w:rPr>
          <w:rFonts w:ascii="Arial" w:hAnsi="Arial" w:cs="Arial"/>
          <w:b/>
          <w:bCs/>
          <w:color w:val="000000"/>
        </w:rPr>
        <w:t>Ente Contable Público</w:t>
      </w:r>
    </w:p>
    <w:p w:rsidR="001455BF" w:rsidRDefault="001455BF" w:rsidP="001455BF">
      <w:pPr>
        <w:pStyle w:val="Prrafodelista"/>
        <w:ind w:left="0"/>
        <w:outlineLvl w:val="0"/>
        <w:rPr>
          <w:rFonts w:ascii="Arial" w:hAnsi="Arial" w:cs="Arial"/>
          <w:bCs/>
          <w:color w:val="000000"/>
        </w:rPr>
      </w:pPr>
    </w:p>
    <w:p w:rsidR="001455BF" w:rsidRPr="001455BF" w:rsidRDefault="001455BF" w:rsidP="001455BF">
      <w:pPr>
        <w:pStyle w:val="Prrafodelista"/>
        <w:ind w:left="0"/>
        <w:outlineLvl w:val="0"/>
        <w:rPr>
          <w:rFonts w:ascii="Arial" w:hAnsi="Arial" w:cs="Arial"/>
          <w:bCs/>
          <w:color w:val="000000"/>
        </w:rPr>
      </w:pPr>
      <w:r>
        <w:rPr>
          <w:rFonts w:ascii="Arial" w:hAnsi="Arial" w:cs="Arial"/>
          <w:bCs/>
          <w:color w:val="000000"/>
        </w:rPr>
        <w:t>La Universidad Nacional es un ente</w:t>
      </w:r>
      <w:r w:rsidR="00766839">
        <w:rPr>
          <w:rFonts w:ascii="Arial" w:hAnsi="Arial" w:cs="Arial"/>
          <w:bCs/>
          <w:color w:val="000000"/>
        </w:rPr>
        <w:t xml:space="preserve"> público que administra y custodia fondos públicos</w:t>
      </w:r>
    </w:p>
    <w:p w:rsidR="003B0236" w:rsidRDefault="003B0236" w:rsidP="00A10B1D">
      <w:pPr>
        <w:pStyle w:val="Prrafodelista"/>
        <w:ind w:left="0"/>
        <w:rPr>
          <w:rFonts w:ascii="Arial" w:hAnsi="Arial" w:cs="Arial"/>
          <w:bCs/>
          <w:color w:val="000000"/>
        </w:rPr>
      </w:pPr>
    </w:p>
    <w:p w:rsidR="00A10B1D" w:rsidRPr="003B0236" w:rsidRDefault="00A10B1D" w:rsidP="00A10B1D">
      <w:pPr>
        <w:pStyle w:val="Prrafodelista"/>
        <w:ind w:left="0"/>
        <w:rPr>
          <w:rFonts w:ascii="Arial" w:hAnsi="Arial" w:cs="Arial"/>
          <w:b/>
          <w:bCs/>
          <w:color w:val="000000"/>
        </w:rPr>
      </w:pPr>
      <w:r w:rsidRPr="003B0236">
        <w:rPr>
          <w:rFonts w:ascii="Arial" w:hAnsi="Arial" w:cs="Arial"/>
          <w:b/>
          <w:bCs/>
          <w:color w:val="000000"/>
        </w:rPr>
        <w:t>Gestión Continua</w:t>
      </w:r>
    </w:p>
    <w:p w:rsidR="00A10B1D" w:rsidRPr="004C1F1A" w:rsidRDefault="00A10B1D" w:rsidP="00A10B1D">
      <w:pPr>
        <w:spacing w:after="0" w:line="240" w:lineRule="auto"/>
        <w:outlineLvl w:val="0"/>
        <w:rPr>
          <w:rFonts w:ascii="Arial" w:hAnsi="Arial" w:cs="Arial"/>
          <w:bCs/>
          <w:color w:val="000000"/>
        </w:rPr>
      </w:pPr>
    </w:p>
    <w:p w:rsidR="00A10B1D" w:rsidRPr="004C1F1A" w:rsidRDefault="00156407" w:rsidP="00A10B1D">
      <w:pPr>
        <w:outlineLvl w:val="0"/>
        <w:rPr>
          <w:rFonts w:ascii="Arial" w:hAnsi="Arial" w:cs="Arial"/>
          <w:bCs/>
          <w:color w:val="000000"/>
        </w:rPr>
      </w:pPr>
      <w:r>
        <w:rPr>
          <w:rFonts w:ascii="Arial" w:hAnsi="Arial" w:cs="Arial"/>
          <w:bCs/>
          <w:color w:val="000000"/>
        </w:rPr>
        <w:t>S</w:t>
      </w:r>
      <w:r w:rsidR="00A10B1D" w:rsidRPr="004C1F1A">
        <w:rPr>
          <w:rFonts w:ascii="Arial" w:hAnsi="Arial" w:cs="Arial"/>
          <w:bCs/>
          <w:color w:val="000000"/>
        </w:rPr>
        <w:t>us actividades se desarrollarán de forma continua</w:t>
      </w:r>
      <w:r>
        <w:rPr>
          <w:rFonts w:ascii="Arial" w:hAnsi="Arial" w:cs="Arial"/>
          <w:bCs/>
          <w:color w:val="000000"/>
        </w:rPr>
        <w:t>.</w:t>
      </w:r>
      <w:r w:rsidR="00A10B1D" w:rsidRPr="004C1F1A">
        <w:rPr>
          <w:rFonts w:ascii="Arial" w:hAnsi="Arial" w:cs="Arial"/>
          <w:bCs/>
          <w:color w:val="000000"/>
        </w:rPr>
        <w:t xml:space="preserve"> </w:t>
      </w:r>
    </w:p>
    <w:p w:rsidR="00D346A9" w:rsidRPr="003B0236" w:rsidRDefault="00D346A9" w:rsidP="003B0236">
      <w:pPr>
        <w:pStyle w:val="Prrafodelista"/>
        <w:ind w:left="0"/>
        <w:outlineLvl w:val="0"/>
        <w:rPr>
          <w:rFonts w:ascii="Arial" w:hAnsi="Arial" w:cs="Arial"/>
          <w:b/>
          <w:bCs/>
          <w:color w:val="000000"/>
        </w:rPr>
      </w:pPr>
      <w:r w:rsidRPr="003B0236">
        <w:rPr>
          <w:rFonts w:ascii="Arial" w:hAnsi="Arial" w:cs="Arial"/>
          <w:b/>
          <w:bCs/>
          <w:color w:val="000000"/>
        </w:rPr>
        <w:t>No compensación entre activos y pasivos e ingresos y gastos</w:t>
      </w:r>
    </w:p>
    <w:p w:rsidR="00D346A9" w:rsidRPr="004C1F1A" w:rsidRDefault="00D346A9" w:rsidP="00D346A9">
      <w:pPr>
        <w:spacing w:after="0" w:line="240" w:lineRule="auto"/>
        <w:outlineLvl w:val="0"/>
        <w:rPr>
          <w:rFonts w:ascii="Arial" w:hAnsi="Arial" w:cs="Arial"/>
          <w:bCs/>
          <w:color w:val="000000"/>
        </w:rPr>
      </w:pPr>
    </w:p>
    <w:p w:rsidR="00D346A9" w:rsidRPr="004C1F1A" w:rsidRDefault="00D346A9" w:rsidP="00692B0D">
      <w:pPr>
        <w:spacing w:line="240" w:lineRule="auto"/>
        <w:outlineLvl w:val="0"/>
        <w:rPr>
          <w:rFonts w:ascii="Arial" w:hAnsi="Arial" w:cs="Arial"/>
          <w:bCs/>
          <w:color w:val="000000"/>
        </w:rPr>
      </w:pPr>
      <w:r w:rsidRPr="004C1F1A">
        <w:rPr>
          <w:rFonts w:ascii="Arial" w:hAnsi="Arial" w:cs="Arial"/>
          <w:bCs/>
          <w:color w:val="000000"/>
        </w:rPr>
        <w:t xml:space="preserve">Mediante la directriz CN-001-2006, publicada en la Gaceta  Nº 133 del 11 de julio de 2006, se establece que el registro de las operaciones debe efectuarse bajo el criterio de partida doble, por lo que en ningún caso deben compensarse las partidas de activo y pasivo del balance de situación, ni las partidas de los gastos e ingresos que componen el estado económico-patrimonial, ni las partidas de gastos e ingresos que integran el estado de ejecución presupuestal.  </w:t>
      </w:r>
    </w:p>
    <w:p w:rsidR="00132815" w:rsidRPr="001E1570" w:rsidRDefault="00132815" w:rsidP="00750CD6">
      <w:pPr>
        <w:pStyle w:val="Prrafodelista"/>
        <w:ind w:left="0"/>
        <w:outlineLvl w:val="0"/>
        <w:rPr>
          <w:rFonts w:ascii="Arial" w:hAnsi="Arial" w:cs="Arial"/>
          <w:b/>
          <w:bCs/>
          <w:color w:val="000000"/>
        </w:rPr>
      </w:pPr>
      <w:r w:rsidRPr="001E1570">
        <w:rPr>
          <w:rFonts w:ascii="Arial" w:hAnsi="Arial" w:cs="Arial"/>
          <w:b/>
          <w:bCs/>
          <w:color w:val="000000"/>
        </w:rPr>
        <w:t>Unidad de Medida y regulaciones cambiarias</w:t>
      </w:r>
    </w:p>
    <w:p w:rsidR="00132815" w:rsidRPr="004C1F1A" w:rsidRDefault="00132815" w:rsidP="00132815">
      <w:pPr>
        <w:pStyle w:val="Prrafodelista"/>
        <w:outlineLvl w:val="0"/>
        <w:rPr>
          <w:rFonts w:ascii="Arial" w:hAnsi="Arial" w:cs="Arial"/>
          <w:b/>
          <w:bCs/>
          <w:color w:val="0070C0"/>
        </w:rPr>
      </w:pPr>
    </w:p>
    <w:p w:rsidR="00BF67DD" w:rsidRDefault="00132815" w:rsidP="00692B0D">
      <w:pPr>
        <w:spacing w:line="240" w:lineRule="auto"/>
        <w:outlineLvl w:val="0"/>
        <w:rPr>
          <w:rFonts w:ascii="Arial" w:hAnsi="Arial" w:cs="Arial"/>
          <w:bCs/>
          <w:color w:val="000000"/>
        </w:rPr>
      </w:pPr>
      <w:r w:rsidRPr="004C1F1A">
        <w:rPr>
          <w:rFonts w:ascii="Arial" w:hAnsi="Arial" w:cs="Arial"/>
          <w:bCs/>
          <w:color w:val="000000"/>
        </w:rPr>
        <w:t xml:space="preserve">Los </w:t>
      </w:r>
      <w:r w:rsidR="00750CD6">
        <w:rPr>
          <w:rFonts w:ascii="Arial" w:hAnsi="Arial" w:cs="Arial"/>
          <w:bCs/>
          <w:color w:val="000000"/>
        </w:rPr>
        <w:t xml:space="preserve">estados financieros </w:t>
      </w:r>
      <w:r w:rsidRPr="004C1F1A">
        <w:rPr>
          <w:rFonts w:ascii="Arial" w:hAnsi="Arial" w:cs="Arial"/>
          <w:bCs/>
          <w:color w:val="000000"/>
        </w:rPr>
        <w:t xml:space="preserve"> y sus notas se expresan en colones (¢), la unidad Monetaria de la República de Costa Rica, </w:t>
      </w:r>
      <w:r w:rsidR="00091E99">
        <w:rPr>
          <w:rFonts w:ascii="Arial" w:hAnsi="Arial" w:cs="Arial"/>
          <w:bCs/>
          <w:color w:val="000000"/>
        </w:rPr>
        <w:t xml:space="preserve">si existieran  </w:t>
      </w:r>
      <w:r w:rsidRPr="004C1F1A">
        <w:rPr>
          <w:rFonts w:ascii="Arial" w:hAnsi="Arial" w:cs="Arial"/>
          <w:bCs/>
          <w:color w:val="000000"/>
        </w:rPr>
        <w:t xml:space="preserve"> créditos u obligaciones en monedas de otros países, la contabilización de éstas debe efectuarse al valor del tipo de cambio oficial de las monedas contratadas con respecto al colón  y mantenerse  un auxiliar de control en moneda extranjera que corresponda al endeudamiento público. </w:t>
      </w:r>
    </w:p>
    <w:p w:rsidR="00132815" w:rsidRDefault="00132815" w:rsidP="00692B0D">
      <w:pPr>
        <w:spacing w:line="240" w:lineRule="auto"/>
        <w:outlineLvl w:val="0"/>
        <w:rPr>
          <w:rFonts w:ascii="Arial" w:hAnsi="Arial" w:cs="Arial"/>
          <w:bCs/>
          <w:color w:val="000000"/>
        </w:rPr>
      </w:pPr>
      <w:r w:rsidRPr="004C1F1A">
        <w:rPr>
          <w:rFonts w:ascii="Arial" w:hAnsi="Arial" w:cs="Arial"/>
          <w:bCs/>
          <w:color w:val="000000"/>
        </w:rPr>
        <w:t xml:space="preserve">Además, se debe señalar mediante notas al pie de los Estados Financieros de eventos no cuantificables que sean muy significativos, la paridad del colón con el dólar estadounidense se determina en un mercado cambiario libre bajo la supervisión del Banco Central de Costa Rica (BCCR). </w:t>
      </w:r>
    </w:p>
    <w:p w:rsidR="00FE00FE" w:rsidRDefault="00FE00FE" w:rsidP="00692B0D">
      <w:pPr>
        <w:spacing w:after="0" w:line="240" w:lineRule="auto"/>
        <w:rPr>
          <w:rFonts w:ascii="Arial" w:hAnsi="Arial" w:cs="Arial"/>
          <w:bCs/>
          <w:color w:val="000000"/>
        </w:rPr>
      </w:pPr>
      <w:r w:rsidRPr="00741D61">
        <w:rPr>
          <w:rFonts w:ascii="Arial" w:hAnsi="Arial" w:cs="Arial"/>
          <w:bCs/>
          <w:color w:val="000000"/>
        </w:rPr>
        <w:t xml:space="preserve">La Institución realizará transacciones en moneda extranjera y presentará sus efectos en los estados financieros registrando las divisas al tipo de cambio vigente a la fecha de la transacción y registrando una medición posterior a los tipos de cambio de cierre (Tipos de cambios de referencias del </w:t>
      </w:r>
      <w:r w:rsidR="00CE06DB">
        <w:rPr>
          <w:rFonts w:ascii="Arial" w:hAnsi="Arial" w:cs="Arial"/>
          <w:bCs/>
          <w:color w:val="000000"/>
        </w:rPr>
        <w:t xml:space="preserve">Banco Central de Costa Rica </w:t>
      </w:r>
      <w:r w:rsidR="00132A8D">
        <w:rPr>
          <w:rFonts w:ascii="Arial" w:hAnsi="Arial" w:cs="Arial"/>
          <w:bCs/>
          <w:color w:val="000000"/>
        </w:rPr>
        <w:t xml:space="preserve"> para </w:t>
      </w:r>
      <w:r w:rsidR="00CE06DB">
        <w:rPr>
          <w:rFonts w:ascii="Arial" w:hAnsi="Arial" w:cs="Arial"/>
          <w:bCs/>
          <w:color w:val="000000"/>
        </w:rPr>
        <w:t xml:space="preserve">las operaciones con el </w:t>
      </w:r>
      <w:r w:rsidR="00D61CEB">
        <w:rPr>
          <w:rFonts w:ascii="Arial" w:hAnsi="Arial" w:cs="Arial"/>
          <w:bCs/>
          <w:color w:val="000000"/>
        </w:rPr>
        <w:t>Sector Público no bancario</w:t>
      </w:r>
      <w:r w:rsidRPr="00741D61">
        <w:rPr>
          <w:rFonts w:ascii="Arial" w:hAnsi="Arial" w:cs="Arial"/>
          <w:bCs/>
          <w:color w:val="000000"/>
        </w:rPr>
        <w:t>) para los saldos de las cuentas monetarias. Los saldos de las cuentas no monetarios se mantendrán al tipo de cambio histórico o de la fecha de transacción.</w:t>
      </w:r>
    </w:p>
    <w:p w:rsidR="00741D61" w:rsidRPr="00741D61" w:rsidRDefault="00741D61" w:rsidP="00FE00FE">
      <w:pPr>
        <w:spacing w:after="0" w:line="240" w:lineRule="auto"/>
        <w:rPr>
          <w:rFonts w:ascii="Arial" w:hAnsi="Arial" w:cs="Arial"/>
          <w:bCs/>
          <w:color w:val="000000"/>
        </w:rPr>
      </w:pPr>
    </w:p>
    <w:p w:rsidR="008D7059" w:rsidRDefault="008D7059" w:rsidP="008D7059">
      <w:pPr>
        <w:spacing w:after="0" w:line="240" w:lineRule="auto"/>
        <w:rPr>
          <w:rFonts w:ascii="Arial" w:hAnsi="Arial" w:cs="Arial"/>
          <w:bCs/>
          <w:color w:val="000000"/>
        </w:rPr>
      </w:pPr>
      <w:r w:rsidRPr="004C1F1A">
        <w:rPr>
          <w:rFonts w:ascii="Arial" w:hAnsi="Arial" w:cs="Arial"/>
          <w:bCs/>
          <w:color w:val="000000"/>
        </w:rPr>
        <w:lastRenderedPageBreak/>
        <w:t>Los activos en US dólares al 3</w:t>
      </w:r>
      <w:r w:rsidR="00B12C34">
        <w:rPr>
          <w:rFonts w:ascii="Arial" w:hAnsi="Arial" w:cs="Arial"/>
          <w:bCs/>
          <w:color w:val="000000"/>
        </w:rPr>
        <w:t>1</w:t>
      </w:r>
      <w:r w:rsidR="0061227A">
        <w:rPr>
          <w:rFonts w:ascii="Arial" w:hAnsi="Arial" w:cs="Arial"/>
          <w:bCs/>
          <w:color w:val="000000"/>
        </w:rPr>
        <w:t xml:space="preserve"> </w:t>
      </w:r>
      <w:r w:rsidRPr="004C1F1A">
        <w:rPr>
          <w:rFonts w:ascii="Arial" w:hAnsi="Arial" w:cs="Arial"/>
          <w:bCs/>
          <w:color w:val="000000"/>
        </w:rPr>
        <w:t xml:space="preserve">de </w:t>
      </w:r>
      <w:r w:rsidR="00CF3C8D">
        <w:rPr>
          <w:rFonts w:ascii="Arial" w:hAnsi="Arial" w:cs="Arial"/>
          <w:bCs/>
          <w:color w:val="000000"/>
        </w:rPr>
        <w:t>enero</w:t>
      </w:r>
      <w:r w:rsidR="00B12C34">
        <w:rPr>
          <w:rFonts w:ascii="Arial" w:hAnsi="Arial" w:cs="Arial"/>
          <w:bCs/>
          <w:color w:val="000000"/>
        </w:rPr>
        <w:t xml:space="preserve"> </w:t>
      </w:r>
      <w:r w:rsidRPr="004C1F1A">
        <w:rPr>
          <w:rFonts w:ascii="Arial" w:hAnsi="Arial" w:cs="Arial"/>
          <w:bCs/>
          <w:color w:val="000000"/>
        </w:rPr>
        <w:t>de 201</w:t>
      </w:r>
      <w:r w:rsidR="00CF3C8D">
        <w:rPr>
          <w:rFonts w:ascii="Arial" w:hAnsi="Arial" w:cs="Arial"/>
          <w:bCs/>
          <w:color w:val="000000"/>
        </w:rPr>
        <w:t>9</w:t>
      </w:r>
      <w:r w:rsidR="00132A8D">
        <w:rPr>
          <w:rFonts w:ascii="Arial" w:hAnsi="Arial" w:cs="Arial"/>
          <w:bCs/>
          <w:color w:val="000000"/>
        </w:rPr>
        <w:t xml:space="preserve"> fueron valuados al</w:t>
      </w:r>
      <w:r w:rsidR="00031AAE">
        <w:rPr>
          <w:rFonts w:ascii="Arial" w:hAnsi="Arial" w:cs="Arial"/>
          <w:bCs/>
          <w:color w:val="000000"/>
        </w:rPr>
        <w:t xml:space="preserve"> tipo</w:t>
      </w:r>
      <w:r w:rsidRPr="004C1F1A">
        <w:rPr>
          <w:rFonts w:ascii="Arial" w:hAnsi="Arial" w:cs="Arial"/>
          <w:bCs/>
          <w:color w:val="000000"/>
        </w:rPr>
        <w:t xml:space="preserve"> de cambio de </w:t>
      </w:r>
      <w:r w:rsidR="006434CD">
        <w:rPr>
          <w:rFonts w:ascii="Arial" w:hAnsi="Arial" w:cs="Arial"/>
          <w:bCs/>
          <w:color w:val="000000"/>
        </w:rPr>
        <w:t>compra</w:t>
      </w:r>
      <w:r w:rsidR="001A634D">
        <w:rPr>
          <w:rFonts w:ascii="Arial" w:hAnsi="Arial" w:cs="Arial"/>
          <w:bCs/>
          <w:color w:val="000000"/>
        </w:rPr>
        <w:t xml:space="preserve"> de ¢</w:t>
      </w:r>
      <w:r w:rsidR="00CF3C8D">
        <w:rPr>
          <w:rFonts w:ascii="Arial" w:hAnsi="Arial" w:cs="Arial"/>
          <w:bCs/>
          <w:color w:val="000000"/>
        </w:rPr>
        <w:t>612.14</w:t>
      </w:r>
      <w:r w:rsidR="00D61CEB">
        <w:rPr>
          <w:rFonts w:ascii="Arial" w:hAnsi="Arial" w:cs="Arial"/>
          <w:bCs/>
          <w:color w:val="000000"/>
        </w:rPr>
        <w:t xml:space="preserve"> </w:t>
      </w:r>
      <w:r w:rsidR="00D61CEB" w:rsidRPr="004C1F1A">
        <w:rPr>
          <w:rFonts w:ascii="Arial" w:hAnsi="Arial" w:cs="Arial"/>
          <w:bCs/>
          <w:color w:val="000000"/>
        </w:rPr>
        <w:t>y pasivos</w:t>
      </w:r>
      <w:r w:rsidR="001D7420">
        <w:rPr>
          <w:rFonts w:ascii="Arial" w:hAnsi="Arial" w:cs="Arial"/>
          <w:bCs/>
          <w:color w:val="000000"/>
        </w:rPr>
        <w:t xml:space="preserve"> al tipo de cambio de venta de </w:t>
      </w:r>
      <w:r w:rsidR="005316F2">
        <w:rPr>
          <w:rFonts w:ascii="Arial" w:hAnsi="Arial" w:cs="Arial"/>
          <w:bCs/>
          <w:color w:val="000000"/>
        </w:rPr>
        <w:t>¢</w:t>
      </w:r>
      <w:r w:rsidR="00CF3C8D">
        <w:rPr>
          <w:rFonts w:ascii="Arial" w:hAnsi="Arial" w:cs="Arial"/>
          <w:bCs/>
          <w:color w:val="000000"/>
        </w:rPr>
        <w:t>612.76</w:t>
      </w:r>
      <w:r w:rsidR="005316F2">
        <w:rPr>
          <w:rFonts w:ascii="Arial" w:hAnsi="Arial" w:cs="Arial"/>
          <w:bCs/>
          <w:color w:val="000000"/>
        </w:rPr>
        <w:t>, tal como lo establece la Directriz No.006-2013</w:t>
      </w:r>
      <w:r w:rsidR="00AF0F86">
        <w:rPr>
          <w:rFonts w:ascii="Arial" w:hAnsi="Arial" w:cs="Arial"/>
          <w:bCs/>
          <w:color w:val="000000"/>
        </w:rPr>
        <w:t>, de la Contabilidad Nacional</w:t>
      </w:r>
      <w:r w:rsidRPr="004C1F1A">
        <w:rPr>
          <w:rFonts w:ascii="Arial" w:hAnsi="Arial" w:cs="Arial"/>
          <w:bCs/>
          <w:color w:val="000000"/>
        </w:rPr>
        <w:t>. Los activos y pasivos denominados en monedas distintas al US dólar fueron convertidos previamente a esa moneda a los tipos de cambio vigentes a esas fechas</w:t>
      </w:r>
      <w:r w:rsidR="00394E75">
        <w:rPr>
          <w:rFonts w:ascii="Arial" w:hAnsi="Arial" w:cs="Arial"/>
          <w:bCs/>
          <w:color w:val="000000"/>
        </w:rPr>
        <w:t>.</w:t>
      </w:r>
    </w:p>
    <w:p w:rsidR="00394E75" w:rsidRDefault="00394E75" w:rsidP="008D7059">
      <w:pPr>
        <w:spacing w:after="0" w:line="240" w:lineRule="auto"/>
        <w:rPr>
          <w:rFonts w:ascii="Arial" w:hAnsi="Arial" w:cs="Arial"/>
          <w:sz w:val="24"/>
          <w:szCs w:val="24"/>
          <w:lang w:eastAsia="es-CR"/>
        </w:rPr>
      </w:pPr>
    </w:p>
    <w:p w:rsidR="00380644" w:rsidRPr="0095713D" w:rsidRDefault="00380644" w:rsidP="00380644">
      <w:pPr>
        <w:pStyle w:val="Prrafodelista"/>
        <w:ind w:left="0"/>
        <w:outlineLvl w:val="0"/>
        <w:rPr>
          <w:rFonts w:ascii="Arial" w:hAnsi="Arial" w:cs="Arial"/>
          <w:b/>
          <w:bCs/>
          <w:color w:val="000000"/>
        </w:rPr>
      </w:pPr>
      <w:r w:rsidRPr="0095713D">
        <w:rPr>
          <w:rFonts w:ascii="Arial" w:hAnsi="Arial" w:cs="Arial"/>
          <w:b/>
          <w:bCs/>
          <w:color w:val="000000"/>
        </w:rPr>
        <w:t>Realización</w:t>
      </w:r>
    </w:p>
    <w:p w:rsidR="00380644" w:rsidRPr="004C1F1A" w:rsidRDefault="00380644" w:rsidP="00380644">
      <w:pPr>
        <w:pStyle w:val="Prrafodelista"/>
        <w:outlineLvl w:val="0"/>
        <w:rPr>
          <w:rFonts w:ascii="Arial" w:hAnsi="Arial" w:cs="Arial"/>
          <w:b/>
          <w:bCs/>
          <w:color w:val="0070C0"/>
        </w:rPr>
      </w:pPr>
    </w:p>
    <w:p w:rsidR="00380644" w:rsidRPr="004C1F1A" w:rsidRDefault="0053227D" w:rsidP="00692B0D">
      <w:pPr>
        <w:spacing w:line="240" w:lineRule="auto"/>
        <w:outlineLvl w:val="0"/>
        <w:rPr>
          <w:rFonts w:ascii="Arial" w:hAnsi="Arial" w:cs="Arial"/>
          <w:bCs/>
          <w:color w:val="000000"/>
        </w:rPr>
      </w:pPr>
      <w:r>
        <w:rPr>
          <w:rFonts w:ascii="Arial" w:hAnsi="Arial" w:cs="Arial"/>
          <w:bCs/>
          <w:color w:val="000000"/>
        </w:rPr>
        <w:t xml:space="preserve">La contabilidad </w:t>
      </w:r>
      <w:r w:rsidR="00380644" w:rsidRPr="004C1F1A">
        <w:rPr>
          <w:rFonts w:ascii="Arial" w:hAnsi="Arial" w:cs="Arial"/>
          <w:bCs/>
          <w:color w:val="000000"/>
        </w:rPr>
        <w:t xml:space="preserve"> reconocerá los resultados de las variaciones patrimoniales cuando los hechos económicos que los originen cumplan con los requisitos jurídicos y/o inherentes a las transacciones, este principio establece como operaciones propias de un órgano o ente público contable:</w:t>
      </w:r>
    </w:p>
    <w:p w:rsidR="00380644" w:rsidRPr="004C1F1A" w:rsidRDefault="00380644" w:rsidP="00692B0D">
      <w:pPr>
        <w:pStyle w:val="Prrafodelista"/>
        <w:numPr>
          <w:ilvl w:val="0"/>
          <w:numId w:val="9"/>
        </w:numPr>
        <w:spacing w:after="200"/>
        <w:ind w:left="714" w:hanging="357"/>
        <w:outlineLvl w:val="0"/>
        <w:rPr>
          <w:rFonts w:ascii="Arial" w:hAnsi="Arial" w:cs="Arial"/>
          <w:bCs/>
          <w:color w:val="000000"/>
        </w:rPr>
      </w:pPr>
      <w:r w:rsidRPr="004C1F1A">
        <w:rPr>
          <w:rFonts w:ascii="Arial" w:hAnsi="Arial" w:cs="Arial"/>
          <w:bCs/>
          <w:color w:val="000000"/>
        </w:rPr>
        <w:t>Cuando ocurran operaciones económicas - financieras entre dos o más órganos o entes.</w:t>
      </w:r>
    </w:p>
    <w:p w:rsidR="00380644" w:rsidRPr="004C1F1A" w:rsidRDefault="00380644" w:rsidP="00692B0D">
      <w:pPr>
        <w:pStyle w:val="Prrafodelista"/>
        <w:numPr>
          <w:ilvl w:val="0"/>
          <w:numId w:val="10"/>
        </w:numPr>
        <w:spacing w:after="200"/>
        <w:ind w:left="714" w:hanging="357"/>
        <w:jc w:val="both"/>
        <w:outlineLvl w:val="0"/>
        <w:rPr>
          <w:rFonts w:ascii="Arial" w:hAnsi="Arial" w:cs="Arial"/>
          <w:bCs/>
          <w:color w:val="000000"/>
        </w:rPr>
      </w:pPr>
      <w:r w:rsidRPr="004C1F1A">
        <w:rPr>
          <w:rFonts w:ascii="Arial" w:hAnsi="Arial" w:cs="Arial"/>
          <w:bCs/>
          <w:color w:val="000000"/>
        </w:rPr>
        <w:t>Cuando se den transformaciones operacionales dentro de un mismo ente.</w:t>
      </w:r>
    </w:p>
    <w:p w:rsidR="00380644" w:rsidRPr="004C1F1A" w:rsidRDefault="00380644" w:rsidP="00692B0D">
      <w:pPr>
        <w:pStyle w:val="Prrafodelista"/>
        <w:numPr>
          <w:ilvl w:val="0"/>
          <w:numId w:val="10"/>
        </w:numPr>
        <w:spacing w:after="200"/>
        <w:ind w:left="714" w:hanging="357"/>
        <w:jc w:val="both"/>
        <w:outlineLvl w:val="0"/>
        <w:rPr>
          <w:rFonts w:ascii="Arial" w:hAnsi="Arial" w:cs="Arial"/>
          <w:bCs/>
          <w:color w:val="000000"/>
        </w:rPr>
      </w:pPr>
      <w:r w:rsidRPr="004C1F1A">
        <w:rPr>
          <w:rFonts w:ascii="Arial" w:hAnsi="Arial" w:cs="Arial"/>
          <w:bCs/>
          <w:color w:val="000000"/>
        </w:rPr>
        <w:t>Cuando se deban realizar operaciones por efectos externos por algunas de las siguientes causas: por fluctuaciones en los tipos de  cambio de  las monedas,  por  inflaciones,  por  deflaciones o por cambios</w:t>
      </w:r>
      <w:r w:rsidRPr="004C1F1A">
        <w:t xml:space="preserve"> </w:t>
      </w:r>
      <w:r w:rsidRPr="004C1F1A">
        <w:rPr>
          <w:rFonts w:ascii="Arial" w:hAnsi="Arial" w:cs="Arial"/>
          <w:bCs/>
          <w:color w:val="000000"/>
        </w:rPr>
        <w:t>operacionales internos debidos a  situaciones  extraordinarias.</w:t>
      </w:r>
    </w:p>
    <w:p w:rsidR="00380644" w:rsidRPr="004C1F1A" w:rsidRDefault="00380644" w:rsidP="00692B0D">
      <w:pPr>
        <w:spacing w:line="240" w:lineRule="auto"/>
        <w:outlineLvl w:val="0"/>
        <w:rPr>
          <w:rFonts w:ascii="Arial" w:hAnsi="Arial" w:cs="Arial"/>
          <w:bCs/>
          <w:color w:val="000000"/>
        </w:rPr>
      </w:pPr>
      <w:r w:rsidRPr="004C1F1A">
        <w:rPr>
          <w:rFonts w:ascii="Arial" w:hAnsi="Arial" w:cs="Arial"/>
          <w:bCs/>
          <w:color w:val="000000"/>
        </w:rPr>
        <w:t>El principio determina que los resultados económicos para medir la relación de los costos y gastos con los ingresos que se generan, serán registrados en la medida que se haya cumplido con la norma jurídica vigente y/o práctica de general aceptación, como asimismo teniendo en consideración los posibles efectos futuros de los hechos  económicos.</w:t>
      </w:r>
    </w:p>
    <w:p w:rsidR="0095713D" w:rsidRPr="00832611" w:rsidRDefault="0095713D" w:rsidP="0057390E">
      <w:pPr>
        <w:pStyle w:val="Prrafodelista"/>
        <w:ind w:left="0"/>
        <w:outlineLvl w:val="0"/>
        <w:rPr>
          <w:rFonts w:ascii="Arial" w:hAnsi="Arial" w:cs="Arial"/>
          <w:b/>
          <w:bCs/>
          <w:color w:val="000000"/>
        </w:rPr>
      </w:pPr>
      <w:r w:rsidRPr="00832611">
        <w:rPr>
          <w:rFonts w:ascii="Arial" w:hAnsi="Arial" w:cs="Arial"/>
          <w:b/>
          <w:bCs/>
          <w:color w:val="000000"/>
        </w:rPr>
        <w:t>Devengo</w:t>
      </w:r>
    </w:p>
    <w:p w:rsidR="0095713D" w:rsidRPr="004C1F1A" w:rsidRDefault="0095713D" w:rsidP="0095713D">
      <w:pPr>
        <w:spacing w:after="0" w:line="240" w:lineRule="auto"/>
        <w:outlineLvl w:val="0"/>
        <w:rPr>
          <w:rFonts w:ascii="Arial" w:hAnsi="Arial" w:cs="Arial"/>
          <w:bCs/>
          <w:color w:val="000000"/>
        </w:rPr>
      </w:pPr>
    </w:p>
    <w:p w:rsidR="0095713D" w:rsidRDefault="0095713D" w:rsidP="00692B0D">
      <w:pPr>
        <w:spacing w:line="240" w:lineRule="auto"/>
        <w:outlineLvl w:val="0"/>
        <w:rPr>
          <w:rFonts w:ascii="Arial" w:hAnsi="Arial" w:cs="Arial"/>
          <w:bCs/>
          <w:color w:val="000000"/>
        </w:rPr>
      </w:pPr>
      <w:r w:rsidRPr="004C1F1A">
        <w:rPr>
          <w:rFonts w:ascii="Arial" w:hAnsi="Arial" w:cs="Arial"/>
          <w:bCs/>
          <w:color w:val="000000"/>
        </w:rPr>
        <w:t>El registro d</w:t>
      </w:r>
      <w:r w:rsidR="0057390E">
        <w:rPr>
          <w:rFonts w:ascii="Arial" w:hAnsi="Arial" w:cs="Arial"/>
          <w:bCs/>
          <w:color w:val="000000"/>
        </w:rPr>
        <w:t xml:space="preserve">e los ingresos y gastos </w:t>
      </w:r>
      <w:r w:rsidR="005E52BD">
        <w:rPr>
          <w:rFonts w:ascii="Arial" w:hAnsi="Arial" w:cs="Arial"/>
          <w:bCs/>
          <w:color w:val="000000"/>
        </w:rPr>
        <w:t>en la manera de las posibilidades</w:t>
      </w:r>
      <w:r w:rsidRPr="004C1F1A">
        <w:rPr>
          <w:rFonts w:ascii="Arial" w:hAnsi="Arial" w:cs="Arial"/>
          <w:bCs/>
          <w:color w:val="000000"/>
        </w:rPr>
        <w:t xml:space="preserve"> se efectuarán en función de su devengo, independientemente de la percepción efectiva de los recursos y del pago por las obligaciones contraídas, los ingresos se registrarán a partir de la identificación del derecho de cobro y los gastos con el surgimiento de una relación jurídica con un tercero por los bienes y servicios recibidos de conformidad.</w:t>
      </w:r>
    </w:p>
    <w:p w:rsidR="00903341" w:rsidRPr="004C1F1A" w:rsidRDefault="00903341" w:rsidP="00692B0D">
      <w:pPr>
        <w:spacing w:line="240" w:lineRule="auto"/>
        <w:outlineLvl w:val="0"/>
        <w:rPr>
          <w:rFonts w:ascii="Arial" w:hAnsi="Arial" w:cs="Arial"/>
          <w:bCs/>
          <w:color w:val="000000"/>
        </w:rPr>
      </w:pPr>
      <w:r>
        <w:rPr>
          <w:rFonts w:ascii="Arial" w:hAnsi="Arial" w:cs="Arial"/>
          <w:bCs/>
          <w:color w:val="000000"/>
        </w:rPr>
        <w:t xml:space="preserve">Sin embargo,  por limitaciones en el módulo </w:t>
      </w:r>
      <w:r w:rsidR="00F55EE1">
        <w:rPr>
          <w:rFonts w:ascii="Arial" w:hAnsi="Arial" w:cs="Arial"/>
          <w:bCs/>
          <w:color w:val="000000"/>
        </w:rPr>
        <w:t xml:space="preserve">financiero, se debe utilizar una única entrada de información </w:t>
      </w:r>
      <w:r w:rsidR="005E3BC8">
        <w:rPr>
          <w:rFonts w:ascii="Arial" w:hAnsi="Arial" w:cs="Arial"/>
          <w:bCs/>
          <w:color w:val="000000"/>
        </w:rPr>
        <w:t xml:space="preserve"> a la contabilidad patrimonial y contabilidad presupuestaria, limitando en </w:t>
      </w:r>
      <w:r w:rsidR="00C946BF">
        <w:rPr>
          <w:rFonts w:ascii="Arial" w:hAnsi="Arial" w:cs="Arial"/>
          <w:bCs/>
          <w:color w:val="000000"/>
        </w:rPr>
        <w:t>algunas</w:t>
      </w:r>
      <w:r w:rsidR="005E3BC8">
        <w:rPr>
          <w:rFonts w:ascii="Arial" w:hAnsi="Arial" w:cs="Arial"/>
          <w:bCs/>
          <w:color w:val="000000"/>
        </w:rPr>
        <w:t xml:space="preserve"> </w:t>
      </w:r>
      <w:r w:rsidR="00C946BF">
        <w:rPr>
          <w:rFonts w:ascii="Arial" w:hAnsi="Arial" w:cs="Arial"/>
          <w:bCs/>
          <w:color w:val="000000"/>
        </w:rPr>
        <w:t>partidas</w:t>
      </w:r>
      <w:r w:rsidR="005E3BC8">
        <w:rPr>
          <w:rFonts w:ascii="Arial" w:hAnsi="Arial" w:cs="Arial"/>
          <w:bCs/>
          <w:color w:val="000000"/>
        </w:rPr>
        <w:t xml:space="preserve"> el registro del devengo de los ingresos, ya que presupuestariamente se debe utilizar la base </w:t>
      </w:r>
      <w:r w:rsidR="00C946BF">
        <w:rPr>
          <w:rFonts w:ascii="Arial" w:hAnsi="Arial" w:cs="Arial"/>
          <w:bCs/>
          <w:color w:val="000000"/>
        </w:rPr>
        <w:t xml:space="preserve">de efectivo, como en el caso de la </w:t>
      </w:r>
      <w:r w:rsidR="00F00A7C">
        <w:rPr>
          <w:rFonts w:ascii="Arial" w:hAnsi="Arial" w:cs="Arial"/>
          <w:bCs/>
          <w:color w:val="000000"/>
        </w:rPr>
        <w:t>Ley No.5909 “Fondo Especial para el Financiamiento</w:t>
      </w:r>
      <w:r w:rsidR="00743A57">
        <w:rPr>
          <w:rFonts w:ascii="Arial" w:hAnsi="Arial" w:cs="Arial"/>
          <w:bCs/>
          <w:color w:val="000000"/>
        </w:rPr>
        <w:t xml:space="preserve"> de la Educación Superior, Ley No.8457 “Rentas Propias”, Ley No.6849 “Impuesto al Cemento” Ley </w:t>
      </w:r>
      <w:r w:rsidR="00822DC4">
        <w:rPr>
          <w:rFonts w:ascii="Arial" w:hAnsi="Arial" w:cs="Arial"/>
          <w:bCs/>
          <w:color w:val="000000"/>
        </w:rPr>
        <w:t>8000 “Derechos de Pesca del Atún”</w:t>
      </w:r>
      <w:r w:rsidR="007756A9">
        <w:rPr>
          <w:rFonts w:ascii="Arial" w:hAnsi="Arial" w:cs="Arial"/>
          <w:bCs/>
          <w:color w:val="000000"/>
        </w:rPr>
        <w:t>, así como por limitaciones en los auxiliares el registro de ingresos y gastos por alquileres.</w:t>
      </w:r>
    </w:p>
    <w:p w:rsidR="0095713D" w:rsidRDefault="0095713D" w:rsidP="00692B0D">
      <w:pPr>
        <w:spacing w:line="240" w:lineRule="auto"/>
        <w:outlineLvl w:val="0"/>
        <w:rPr>
          <w:rFonts w:ascii="Arial" w:hAnsi="Arial" w:cs="Arial"/>
          <w:bCs/>
          <w:color w:val="000000"/>
        </w:rPr>
      </w:pPr>
      <w:r w:rsidRPr="004C1F1A">
        <w:rPr>
          <w:rFonts w:ascii="Arial" w:hAnsi="Arial" w:cs="Arial"/>
          <w:bCs/>
          <w:color w:val="000000"/>
        </w:rPr>
        <w:t>Cuando se presenten ingresos o costos asociados a futuros ingresos y cuya utilidad ya no resulte en diferirlos se deben relacionar con los ingresos del período en que tal hecho se presente. En el caso de que el devengo de ciertos ingresos y gastos no se logren identificar, su registro contable se efectuará a partir del reconocimiento o pago de la obligación y de la percepción efectiva de los recursos.</w:t>
      </w:r>
    </w:p>
    <w:p w:rsidR="005E52BD" w:rsidRPr="004C1F1A" w:rsidRDefault="005E52BD" w:rsidP="0095713D">
      <w:pPr>
        <w:outlineLvl w:val="0"/>
        <w:rPr>
          <w:rFonts w:ascii="Arial" w:hAnsi="Arial" w:cs="Arial"/>
          <w:bCs/>
          <w:color w:val="000000"/>
        </w:rPr>
      </w:pPr>
    </w:p>
    <w:p w:rsidR="0095713D" w:rsidRPr="00832611" w:rsidRDefault="0095713D" w:rsidP="00E73DD6">
      <w:pPr>
        <w:pStyle w:val="Prrafodelista"/>
        <w:ind w:left="0"/>
        <w:outlineLvl w:val="0"/>
        <w:rPr>
          <w:rFonts w:ascii="Arial" w:hAnsi="Arial" w:cs="Arial"/>
          <w:b/>
          <w:bCs/>
          <w:color w:val="000000"/>
        </w:rPr>
      </w:pPr>
      <w:r w:rsidRPr="00832611">
        <w:rPr>
          <w:rFonts w:ascii="Arial" w:hAnsi="Arial" w:cs="Arial"/>
          <w:b/>
          <w:bCs/>
          <w:color w:val="000000"/>
        </w:rPr>
        <w:t>Valor Histórico</w:t>
      </w:r>
    </w:p>
    <w:p w:rsidR="0095713D" w:rsidRPr="004C1F1A" w:rsidRDefault="0095713D" w:rsidP="0095713D">
      <w:pPr>
        <w:spacing w:after="0" w:line="240" w:lineRule="auto"/>
        <w:outlineLvl w:val="0"/>
        <w:rPr>
          <w:rFonts w:ascii="Arial" w:hAnsi="Arial" w:cs="Arial"/>
          <w:bCs/>
          <w:color w:val="000000"/>
        </w:rPr>
      </w:pPr>
    </w:p>
    <w:p w:rsidR="0095713D" w:rsidRPr="004C1F1A" w:rsidRDefault="0095713D" w:rsidP="00692B0D">
      <w:pPr>
        <w:spacing w:line="240" w:lineRule="auto"/>
        <w:outlineLvl w:val="0"/>
        <w:rPr>
          <w:rFonts w:ascii="Arial" w:hAnsi="Arial" w:cs="Arial"/>
          <w:bCs/>
          <w:color w:val="000000"/>
        </w:rPr>
      </w:pPr>
      <w:r w:rsidRPr="004C1F1A">
        <w:rPr>
          <w:rFonts w:ascii="Arial" w:hAnsi="Arial" w:cs="Arial"/>
          <w:bCs/>
          <w:color w:val="000000"/>
        </w:rPr>
        <w:t>Las transacciones y eventos económicos que la contabilidad cuantifica al considerarlos reali</w:t>
      </w:r>
      <w:bookmarkStart w:id="2" w:name="_GoBack"/>
      <w:bookmarkEnd w:id="2"/>
      <w:r w:rsidRPr="004C1F1A">
        <w:rPr>
          <w:rFonts w:ascii="Arial" w:hAnsi="Arial" w:cs="Arial"/>
          <w:bCs/>
          <w:color w:val="000000"/>
        </w:rPr>
        <w:t xml:space="preserve">zados y devengados, se registrarán según las cantidades de efectivo que los </w:t>
      </w:r>
      <w:r w:rsidRPr="004C1F1A">
        <w:rPr>
          <w:rFonts w:ascii="Arial" w:hAnsi="Arial" w:cs="Arial"/>
          <w:bCs/>
          <w:color w:val="000000"/>
        </w:rPr>
        <w:lastRenderedPageBreak/>
        <w:t>afecten o de su equivalente o de la estimación razonable que de ellas se haga. Estas cifras podrán ser modificadas en el caso de que ocurran eventos posteriores que las hagan perder su significado.</w:t>
      </w:r>
    </w:p>
    <w:p w:rsidR="0095713D" w:rsidRPr="004C1F1A" w:rsidRDefault="0095713D" w:rsidP="00692B0D">
      <w:pPr>
        <w:spacing w:line="240" w:lineRule="auto"/>
        <w:rPr>
          <w:rFonts w:ascii="Arial" w:hAnsi="Arial" w:cs="Arial"/>
          <w:lang w:val="es-CR" w:eastAsia="es-CR"/>
        </w:rPr>
      </w:pPr>
      <w:r w:rsidRPr="004C1F1A">
        <w:rPr>
          <w:rFonts w:ascii="Arial" w:hAnsi="Arial" w:cs="Arial"/>
          <w:lang w:val="es-CR" w:eastAsia="es-CR"/>
        </w:rPr>
        <w:t xml:space="preserve">Este principio reconoce como mecanismo contable válido registrar ajustes periódicos que permitan depurar y actualizar los valores que muestran los recursos y obligaciones, a fin de lograr una adecuada razonabilidad en la presentación de la información contable, si se ajustan las cifras por cambios en los niveles de precios generales (índice de precios) y se aplican a todos los conceptos que integran los estados financieros, así como la revaluación de activos fijos, se considerará que no ha habido violación de este principio, siempre y cuando en las cuentas </w:t>
      </w:r>
      <w:proofErr w:type="spellStart"/>
      <w:r w:rsidRPr="004C1F1A">
        <w:rPr>
          <w:rFonts w:ascii="Arial" w:hAnsi="Arial" w:cs="Arial"/>
          <w:lang w:val="es-CR" w:eastAsia="es-CR"/>
        </w:rPr>
        <w:t>reexpresadas</w:t>
      </w:r>
      <w:proofErr w:type="spellEnd"/>
      <w:r w:rsidRPr="004C1F1A">
        <w:rPr>
          <w:rFonts w:ascii="Arial" w:hAnsi="Arial" w:cs="Arial"/>
          <w:lang w:val="es-CR" w:eastAsia="es-CR"/>
        </w:rPr>
        <w:t xml:space="preserve"> se conserve el valor histórico en las cuentas originales y paralelo a ellas se abran cuentas para registrar el valor </w:t>
      </w:r>
      <w:proofErr w:type="spellStart"/>
      <w:r w:rsidRPr="004C1F1A">
        <w:rPr>
          <w:rFonts w:ascii="Arial" w:hAnsi="Arial" w:cs="Arial"/>
          <w:lang w:val="es-CR" w:eastAsia="es-CR"/>
        </w:rPr>
        <w:t>reexpresado</w:t>
      </w:r>
      <w:proofErr w:type="spellEnd"/>
      <w:r w:rsidRPr="004C1F1A">
        <w:rPr>
          <w:rFonts w:ascii="Arial" w:hAnsi="Arial" w:cs="Arial"/>
          <w:lang w:val="es-CR" w:eastAsia="es-CR"/>
        </w:rPr>
        <w:t>; esta situación debe quedar debidamente especificada y aclarada en la información que se produzca.</w:t>
      </w:r>
    </w:p>
    <w:p w:rsidR="0095713D" w:rsidRPr="004C1F1A" w:rsidRDefault="0095713D" w:rsidP="00692B0D">
      <w:pPr>
        <w:spacing w:line="240" w:lineRule="auto"/>
        <w:rPr>
          <w:rFonts w:ascii="Arial" w:hAnsi="Arial" w:cs="Arial"/>
          <w:lang w:val="es-CR" w:eastAsia="es-CR"/>
        </w:rPr>
      </w:pPr>
      <w:r w:rsidRPr="004C1F1A">
        <w:rPr>
          <w:rFonts w:ascii="Arial" w:hAnsi="Arial" w:cs="Arial"/>
          <w:lang w:val="es-CR" w:eastAsia="es-CR"/>
        </w:rPr>
        <w:t>El costo original de adquisición, construcciones o producción es el adecuado para reflejar el valor de los bienes, derechos y obligaciones en el momento de su incorporación al patrimonio  del Ente, para determinadas inversiones en títulos o valores con cotización pública, corresponderá utilizar el valor del mercado para su valuación. En el caso de otros bienes y con carácter de excepción, el órgano Rector establecerá el método de valuación que corresponda, el que será adoptado por el Ente para fijar sus valores siempre que el mismo no supere el de mercado o realización, el que fuere menor.</w:t>
      </w:r>
    </w:p>
    <w:p w:rsidR="0095713D" w:rsidRDefault="0095713D" w:rsidP="00692B0D">
      <w:pPr>
        <w:spacing w:line="240" w:lineRule="auto"/>
        <w:rPr>
          <w:rFonts w:ascii="Arial" w:hAnsi="Arial" w:cs="Arial"/>
          <w:lang w:val="es-CR" w:eastAsia="es-CR"/>
        </w:rPr>
      </w:pPr>
      <w:r w:rsidRPr="004C1F1A">
        <w:rPr>
          <w:rFonts w:ascii="Arial" w:hAnsi="Arial" w:cs="Arial"/>
          <w:lang w:val="es-CR" w:eastAsia="es-CR"/>
        </w:rPr>
        <w:t>Formarán parte del valor histórico los costos y gastos necesarios para poner los bienes en condiciones de utilización o enajenación. Además, estos deben incluir la diferencia originada en las transacciones en moneda extranjera.</w:t>
      </w:r>
    </w:p>
    <w:p w:rsidR="00A346A3" w:rsidRPr="00D100E9" w:rsidRDefault="00A346A3" w:rsidP="00A346A3">
      <w:pPr>
        <w:pStyle w:val="Prrafodelista"/>
        <w:ind w:left="0"/>
        <w:rPr>
          <w:rFonts w:ascii="Arial" w:hAnsi="Arial" w:cs="Arial"/>
          <w:b/>
          <w:lang w:val="es-CR" w:eastAsia="es-CR"/>
        </w:rPr>
      </w:pPr>
      <w:r w:rsidRPr="00D100E9">
        <w:rPr>
          <w:rFonts w:ascii="Arial" w:hAnsi="Arial" w:cs="Arial"/>
          <w:b/>
          <w:lang w:val="es-CR" w:eastAsia="es-CR"/>
        </w:rPr>
        <w:t>Revelación Suficiente</w:t>
      </w:r>
    </w:p>
    <w:p w:rsidR="00A346A3" w:rsidRPr="004C1F1A" w:rsidRDefault="00A346A3" w:rsidP="00A346A3">
      <w:pPr>
        <w:spacing w:after="0" w:line="240" w:lineRule="auto"/>
        <w:ind w:left="360"/>
        <w:rPr>
          <w:rFonts w:ascii="Arial" w:hAnsi="Arial" w:cs="Arial"/>
          <w:sz w:val="24"/>
          <w:szCs w:val="24"/>
          <w:lang w:val="es-CR" w:eastAsia="es-CR"/>
        </w:rPr>
      </w:pP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 xml:space="preserve">Los estados contables y financieros </w:t>
      </w:r>
      <w:r>
        <w:rPr>
          <w:rFonts w:ascii="Arial" w:hAnsi="Arial" w:cs="Arial"/>
          <w:lang w:val="es-CR" w:eastAsia="es-CR"/>
        </w:rPr>
        <w:t xml:space="preserve">contienen </w:t>
      </w:r>
      <w:r w:rsidRPr="004C1F1A">
        <w:rPr>
          <w:rFonts w:ascii="Arial" w:hAnsi="Arial" w:cs="Arial"/>
          <w:lang w:val="es-CR" w:eastAsia="es-CR"/>
        </w:rPr>
        <w:t xml:space="preserve"> toda la información necesaria que exprese adecuadamente la situación económica - financiera y de los recursos y gastos  y de esta manera sean la base para  la toma de decisiones, dicha información en consecuencia, debe ser pertinente, comprensible, imparcial, verificable, oportuna, confiable, comparable y suficiente.</w:t>
      </w: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Cuando ocurran eventos o transacciones en términos monetarios extraordinarios o que ameriten algún tipo de explicación para que la información sea transparente, se deberán poner notas explicativas al pie de los estados financieros y otros cuadros.</w:t>
      </w:r>
    </w:p>
    <w:p w:rsidR="00A346A3" w:rsidRPr="00B3111D" w:rsidRDefault="00A346A3" w:rsidP="0008600D">
      <w:pPr>
        <w:pStyle w:val="Prrafodelista"/>
        <w:ind w:left="0"/>
        <w:rPr>
          <w:rFonts w:ascii="Arial" w:hAnsi="Arial" w:cs="Arial"/>
          <w:b/>
          <w:lang w:val="es-CR" w:eastAsia="es-CR"/>
        </w:rPr>
      </w:pPr>
      <w:r w:rsidRPr="00B3111D">
        <w:rPr>
          <w:rFonts w:ascii="Arial" w:hAnsi="Arial" w:cs="Arial"/>
          <w:b/>
          <w:lang w:val="es-CR" w:eastAsia="es-CR"/>
        </w:rPr>
        <w:t>Prudencia</w:t>
      </w:r>
    </w:p>
    <w:p w:rsidR="00A346A3" w:rsidRPr="004C1F1A" w:rsidRDefault="00A346A3" w:rsidP="00A346A3">
      <w:pPr>
        <w:spacing w:after="0" w:line="240" w:lineRule="auto"/>
        <w:ind w:left="360"/>
        <w:rPr>
          <w:rFonts w:ascii="Arial" w:hAnsi="Arial" w:cs="Arial"/>
          <w:lang w:val="es-CR" w:eastAsia="es-CR"/>
        </w:rPr>
      </w:pP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La medición o cuantificación contable debe ser prudente en sus cálculos, así como en la selección de procedimientos considerados como equivalentes y aceptables, escogiendo aquellas que indudablemente no modifiquen, ni a favor ni en contra, la situación de la entidad o el resultado de sus operaciones.</w:t>
      </w:r>
    </w:p>
    <w:p w:rsidR="00A346A3" w:rsidRPr="004C1F1A" w:rsidRDefault="00A346A3" w:rsidP="00692B0D">
      <w:pPr>
        <w:spacing w:line="240" w:lineRule="auto"/>
        <w:rPr>
          <w:rFonts w:ascii="Arial" w:hAnsi="Arial" w:cs="Arial"/>
          <w:lang w:val="es-CR" w:eastAsia="es-CR"/>
        </w:rPr>
      </w:pPr>
      <w:r w:rsidRPr="004C1F1A">
        <w:rPr>
          <w:rFonts w:ascii="Arial" w:hAnsi="Arial" w:cs="Arial"/>
          <w:lang w:val="es-CR" w:eastAsia="es-CR"/>
        </w:rPr>
        <w:t>Cuando existan hechos de incertidumbre que dificulten medir un hecho económico, debe tenerse precaución en la inclusión de ciertos juicios, para realizar las estimaciones necesarias, de manera que no se produzcan situaciones de sobrevaluación o de subvaluación en los activos, pasivos y capital contable.</w:t>
      </w:r>
    </w:p>
    <w:p w:rsidR="00786060" w:rsidRPr="00786060" w:rsidRDefault="00786060" w:rsidP="00786060">
      <w:pPr>
        <w:pStyle w:val="Prrafodelista"/>
        <w:ind w:left="0"/>
        <w:rPr>
          <w:rFonts w:ascii="Arial" w:hAnsi="Arial" w:cs="Arial"/>
          <w:b/>
          <w:lang w:val="es-CR" w:eastAsia="es-CR"/>
        </w:rPr>
      </w:pPr>
      <w:r w:rsidRPr="00786060">
        <w:rPr>
          <w:rFonts w:ascii="Arial" w:hAnsi="Arial" w:cs="Arial"/>
          <w:b/>
          <w:lang w:val="es-CR" w:eastAsia="es-CR"/>
        </w:rPr>
        <w:t>Hechos Posteriores al Cierre</w:t>
      </w:r>
    </w:p>
    <w:p w:rsidR="00786060" w:rsidRPr="004C1F1A" w:rsidRDefault="00786060" w:rsidP="00786060">
      <w:pPr>
        <w:spacing w:after="0" w:line="240" w:lineRule="auto"/>
        <w:rPr>
          <w:rFonts w:ascii="Arial" w:hAnsi="Arial" w:cs="Arial"/>
          <w:sz w:val="24"/>
          <w:szCs w:val="24"/>
          <w:lang w:val="es-CR" w:eastAsia="es-CR"/>
        </w:rPr>
      </w:pPr>
    </w:p>
    <w:p w:rsidR="00786060" w:rsidRPr="004C1F1A" w:rsidRDefault="00786060" w:rsidP="00692B0D">
      <w:pPr>
        <w:spacing w:line="240" w:lineRule="auto"/>
        <w:rPr>
          <w:rFonts w:ascii="Arial" w:hAnsi="Arial" w:cs="Arial"/>
          <w:lang w:val="es-CR" w:eastAsia="es-CR"/>
        </w:rPr>
      </w:pPr>
      <w:r w:rsidRPr="004C1F1A">
        <w:rPr>
          <w:rFonts w:ascii="Arial" w:hAnsi="Arial" w:cs="Arial"/>
          <w:lang w:val="es-CR" w:eastAsia="es-CR"/>
        </w:rPr>
        <w:t xml:space="preserve">La información conocida con posterioridad a la fecha de cierre y antes de la fecha límite para  la presentación de los informes contables dadas por la legislación vigentes o por </w:t>
      </w:r>
      <w:r w:rsidRPr="004C1F1A">
        <w:rPr>
          <w:rFonts w:ascii="Arial" w:hAnsi="Arial" w:cs="Arial"/>
          <w:lang w:val="es-CR" w:eastAsia="es-CR"/>
        </w:rPr>
        <w:lastRenderedPageBreak/>
        <w:t>la establecida por el órgano rector del sistema y que suministren evidencia adicional sobre condiciones que existían antes de la fecha de cierre,  deben reconocerse en el mismo período.</w:t>
      </w:r>
    </w:p>
    <w:p w:rsidR="00786060" w:rsidRPr="00786060" w:rsidRDefault="00786060" w:rsidP="00786060">
      <w:pPr>
        <w:pStyle w:val="Prrafodelista"/>
        <w:ind w:left="0"/>
        <w:rPr>
          <w:rFonts w:ascii="Arial" w:hAnsi="Arial" w:cs="Arial"/>
          <w:b/>
          <w:lang w:val="es-CR" w:eastAsia="es-CR"/>
        </w:rPr>
      </w:pPr>
      <w:r w:rsidRPr="00786060">
        <w:rPr>
          <w:rFonts w:ascii="Arial" w:hAnsi="Arial" w:cs="Arial"/>
          <w:b/>
          <w:lang w:val="es-CR" w:eastAsia="es-CR"/>
        </w:rPr>
        <w:t>Desafectación</w:t>
      </w:r>
    </w:p>
    <w:p w:rsidR="00786060" w:rsidRPr="004C1F1A" w:rsidRDefault="00786060" w:rsidP="00786060">
      <w:pPr>
        <w:spacing w:after="0" w:line="240" w:lineRule="auto"/>
        <w:rPr>
          <w:rFonts w:ascii="Arial" w:hAnsi="Arial" w:cs="Arial"/>
          <w:sz w:val="24"/>
          <w:szCs w:val="24"/>
          <w:lang w:val="es-CR" w:eastAsia="es-CR"/>
        </w:rPr>
      </w:pPr>
    </w:p>
    <w:p w:rsidR="00786060" w:rsidRPr="004C1F1A" w:rsidRDefault="00786060" w:rsidP="00692B0D">
      <w:pPr>
        <w:spacing w:line="240" w:lineRule="auto"/>
        <w:rPr>
          <w:rFonts w:ascii="Arial" w:hAnsi="Arial" w:cs="Arial"/>
          <w:lang w:val="es-CR" w:eastAsia="es-CR"/>
        </w:rPr>
      </w:pPr>
      <w:r w:rsidRPr="004C1F1A">
        <w:rPr>
          <w:rFonts w:ascii="Arial" w:hAnsi="Arial" w:cs="Arial"/>
          <w:lang w:val="es-CR" w:eastAsia="es-CR"/>
        </w:rPr>
        <w:t xml:space="preserve">Con carácter general, los ingresos de índole </w:t>
      </w:r>
      <w:proofErr w:type="gramStart"/>
      <w:r w:rsidRPr="004C1F1A">
        <w:rPr>
          <w:rFonts w:ascii="Arial" w:hAnsi="Arial" w:cs="Arial"/>
          <w:lang w:val="es-CR" w:eastAsia="es-CR"/>
        </w:rPr>
        <w:t>presupuestario</w:t>
      </w:r>
      <w:proofErr w:type="gramEnd"/>
      <w:r w:rsidRPr="004C1F1A">
        <w:rPr>
          <w:rFonts w:ascii="Arial" w:hAnsi="Arial" w:cs="Arial"/>
          <w:lang w:val="es-CR" w:eastAsia="es-CR"/>
        </w:rPr>
        <w:t xml:space="preserve"> se destinan a financiar la totalidad de los gastos de dicha naturaleza, los ingresos presupuestarios ordinarios podrán financiar gastos presupuestarios ordinarios y de capital, pero los ingresos presupuestarios de capital solamente podrán financiar gastos de capital. En el supuesto de que determinados gastos presupuestarios se financien con ingresos presupuestarios específicos a ellos afectados, el sistema contable debe reflejar esta situación y permitir su seguimiento.</w:t>
      </w:r>
    </w:p>
    <w:p w:rsidR="00AB5181" w:rsidRPr="00091012" w:rsidRDefault="00AB5181" w:rsidP="00AB5181">
      <w:pPr>
        <w:pStyle w:val="Ttulo2"/>
        <w:rPr>
          <w:rFonts w:ascii="Arial" w:hAnsi="Arial" w:cs="Arial"/>
          <w:bCs w:val="0"/>
          <w:i w:val="0"/>
          <w:iCs w:val="0"/>
          <w:sz w:val="22"/>
          <w:szCs w:val="22"/>
          <w:lang w:val="es-CR" w:eastAsia="es-CR"/>
        </w:rPr>
      </w:pPr>
      <w:bookmarkStart w:id="3" w:name="_Toc326045666"/>
      <w:r w:rsidRPr="00091012">
        <w:rPr>
          <w:rFonts w:ascii="Arial" w:hAnsi="Arial" w:cs="Arial"/>
          <w:bCs w:val="0"/>
          <w:i w:val="0"/>
          <w:iCs w:val="0"/>
          <w:sz w:val="22"/>
          <w:szCs w:val="22"/>
          <w:lang w:val="es-CR" w:eastAsia="es-CR"/>
        </w:rPr>
        <w:t>Estados financieros y liquidación presupuestaria</w:t>
      </w:r>
      <w:bookmarkEnd w:id="3"/>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La contabilidad financiera y presupuestaria de la institución está  integrada  para producir sistemática y estructuradamente, información cuantitativa expresada en unidades monetarias de todas las operaciones y eventos cuantificables, con el objetivo de facilitar la toma de decisiones que favorezcan a la institución.</w:t>
      </w:r>
    </w:p>
    <w:p w:rsidR="00AB5181" w:rsidRPr="00091012" w:rsidRDefault="00AB5181" w:rsidP="00AB5181">
      <w:pPr>
        <w:pStyle w:val="Ttulo2"/>
        <w:rPr>
          <w:rFonts w:ascii="Arial" w:hAnsi="Arial" w:cs="Arial"/>
          <w:bCs w:val="0"/>
          <w:i w:val="0"/>
          <w:iCs w:val="0"/>
          <w:sz w:val="22"/>
          <w:szCs w:val="22"/>
          <w:lang w:val="es-CR" w:eastAsia="es-CR"/>
        </w:rPr>
      </w:pPr>
      <w:bookmarkStart w:id="4" w:name="_Toc326045667"/>
      <w:r w:rsidRPr="00091012">
        <w:rPr>
          <w:rFonts w:ascii="Arial" w:hAnsi="Arial" w:cs="Arial"/>
          <w:bCs w:val="0"/>
          <w:i w:val="0"/>
          <w:iCs w:val="0"/>
          <w:sz w:val="22"/>
          <w:szCs w:val="22"/>
          <w:lang w:val="es-CR" w:eastAsia="es-CR"/>
        </w:rPr>
        <w:t>Sistema contable- presupuestario</w:t>
      </w:r>
      <w:bookmarkEnd w:id="4"/>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El sistema contable es de carácter Patrimonial-Presupuestario, por tanto su estructura combina bases de registro tanto acumulativa  o devengo, como de efectivo y el resultado de sus operaciones se refleja en los informes financieros y presupuestarios.</w:t>
      </w:r>
    </w:p>
    <w:p w:rsidR="00AB5181" w:rsidRPr="00091012" w:rsidRDefault="00AB5181" w:rsidP="00AB5181">
      <w:pPr>
        <w:pStyle w:val="Ttulo2"/>
        <w:rPr>
          <w:rFonts w:ascii="Arial" w:hAnsi="Arial" w:cs="Arial"/>
          <w:bCs w:val="0"/>
          <w:i w:val="0"/>
          <w:iCs w:val="0"/>
          <w:sz w:val="22"/>
          <w:szCs w:val="22"/>
          <w:lang w:val="es-CR" w:eastAsia="es-CR"/>
        </w:rPr>
      </w:pPr>
      <w:bookmarkStart w:id="5" w:name="_Toc326045668"/>
      <w:r w:rsidRPr="00091012">
        <w:rPr>
          <w:rFonts w:ascii="Arial" w:hAnsi="Arial" w:cs="Arial"/>
          <w:bCs w:val="0"/>
          <w:i w:val="0"/>
          <w:iCs w:val="0"/>
          <w:sz w:val="22"/>
          <w:szCs w:val="22"/>
          <w:lang w:val="es-CR" w:eastAsia="es-CR"/>
        </w:rPr>
        <w:t>Responsable de la emisión de los estados financieros y presupuestarios</w:t>
      </w:r>
      <w:bookmarkEnd w:id="5"/>
    </w:p>
    <w:p w:rsidR="00AB5181"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La preparación y presentación de los Estados Financieros está a cargo de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Contabilidad,  bajo la responsabilidad del Contador General, y su emisión debe ser  autorizada por </w:t>
      </w:r>
      <w:smartTag w:uri="urn:schemas-microsoft-com:office:smarttags" w:element="PersonName">
        <w:smartTagPr>
          <w:attr w:name="ProductID" w:val="la Direcci￳n"/>
        </w:smartTagPr>
        <w:r w:rsidRPr="001B3818">
          <w:rPr>
            <w:rFonts w:ascii="Arial" w:hAnsi="Arial" w:cs="Arial"/>
            <w:lang w:val="es-CR" w:eastAsia="es-CR"/>
          </w:rPr>
          <w:t>la Dirección</w:t>
        </w:r>
      </w:smartTag>
      <w:r w:rsidRPr="001B3818">
        <w:rPr>
          <w:rFonts w:ascii="Arial" w:hAnsi="Arial" w:cs="Arial"/>
          <w:lang w:val="es-CR" w:eastAsia="es-CR"/>
        </w:rPr>
        <w:t xml:space="preserve"> del Programa Gestión Financiera. Los Estados Financieros </w:t>
      </w:r>
      <w:r w:rsidR="00793F38">
        <w:rPr>
          <w:rFonts w:ascii="Arial" w:hAnsi="Arial" w:cs="Arial"/>
          <w:lang w:val="es-CR" w:eastAsia="es-CR"/>
        </w:rPr>
        <w:t>mensuales</w:t>
      </w:r>
      <w:r w:rsidRPr="001B3818">
        <w:rPr>
          <w:rFonts w:ascii="Arial" w:hAnsi="Arial" w:cs="Arial"/>
          <w:lang w:val="es-CR" w:eastAsia="es-CR"/>
        </w:rPr>
        <w:t xml:space="preserve"> deben estar firmados por el (la) Contador(a) General y por e</w:t>
      </w:r>
      <w:r w:rsidR="00793F38">
        <w:rPr>
          <w:rFonts w:ascii="Arial" w:hAnsi="Arial" w:cs="Arial"/>
          <w:lang w:val="es-CR" w:eastAsia="es-CR"/>
        </w:rPr>
        <w:t>l (la) Director(a) del Programa y lo</w:t>
      </w:r>
      <w:r w:rsidR="006713FD">
        <w:rPr>
          <w:rFonts w:ascii="Arial" w:hAnsi="Arial" w:cs="Arial"/>
          <w:lang w:val="es-CR" w:eastAsia="es-CR"/>
        </w:rPr>
        <w:t xml:space="preserve">s Estados Financieros anuales los aprobará el </w:t>
      </w:r>
      <w:r w:rsidR="00AC4D1B">
        <w:rPr>
          <w:rFonts w:ascii="Arial" w:hAnsi="Arial" w:cs="Arial"/>
          <w:lang w:val="es-CR" w:eastAsia="es-CR"/>
        </w:rPr>
        <w:t>Rector.</w:t>
      </w:r>
    </w:p>
    <w:p w:rsidR="00AC4D1B" w:rsidRPr="001B3818" w:rsidRDefault="00AC4D1B" w:rsidP="00AB5181">
      <w:pPr>
        <w:spacing w:after="0" w:line="240" w:lineRule="auto"/>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Informes de ejecución presupuestaria son elaborados por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Presupuesto de forma trimestral, y firmados por el (la) Rector(a) de </w:t>
      </w:r>
      <w:smartTag w:uri="urn:schemas-microsoft-com:office:smarttags" w:element="PersonName">
        <w:smartTagPr>
          <w:attr w:name="ProductID" w:val="la Instituci￳n."/>
        </w:smartTagPr>
        <w:r w:rsidRPr="001B3818">
          <w:rPr>
            <w:rFonts w:ascii="Arial" w:hAnsi="Arial" w:cs="Arial"/>
            <w:lang w:val="es-CR" w:eastAsia="es-CR"/>
          </w:rPr>
          <w:t>la Institución.</w:t>
        </w:r>
      </w:smartTag>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br/>
        <w:t>El informe de ejecución presupuestaria, semestral y anual es aprobado por el Consejo Universitario.</w:t>
      </w:r>
    </w:p>
    <w:p w:rsidR="00AB5181" w:rsidRPr="001B3818" w:rsidRDefault="00AB5181" w:rsidP="00AB5181">
      <w:pPr>
        <w:spacing w:after="0" w:line="240" w:lineRule="auto"/>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El informe de liquidación presupuestaria es elaborado por </w:t>
      </w:r>
      <w:smartTag w:uri="urn:schemas-microsoft-com:office:smarttags" w:element="PersonName">
        <w:smartTagPr>
          <w:attr w:name="ProductID" w:val="la Secci￳n"/>
        </w:smartTagPr>
        <w:r w:rsidRPr="001B3818">
          <w:rPr>
            <w:rFonts w:ascii="Arial" w:hAnsi="Arial" w:cs="Arial"/>
            <w:lang w:val="es-CR" w:eastAsia="es-CR"/>
          </w:rPr>
          <w:t>la Sección</w:t>
        </w:r>
      </w:smartTag>
      <w:r w:rsidRPr="001B3818">
        <w:rPr>
          <w:rFonts w:ascii="Arial" w:hAnsi="Arial" w:cs="Arial"/>
          <w:lang w:val="es-CR" w:eastAsia="es-CR"/>
        </w:rPr>
        <w:t xml:space="preserve"> de Presupuesto del Programa de Gestión Financiera y  es aprobado por el Consejo Universitario.</w:t>
      </w:r>
    </w:p>
    <w:p w:rsidR="00AB5181" w:rsidRPr="0052201B" w:rsidRDefault="00AB5181" w:rsidP="00AB5181">
      <w:pPr>
        <w:pStyle w:val="Ttulo2"/>
        <w:rPr>
          <w:rFonts w:ascii="Arial" w:hAnsi="Arial" w:cs="Arial"/>
          <w:bCs w:val="0"/>
          <w:i w:val="0"/>
          <w:iCs w:val="0"/>
          <w:sz w:val="22"/>
          <w:szCs w:val="22"/>
          <w:lang w:val="es-CR" w:eastAsia="es-CR"/>
        </w:rPr>
      </w:pPr>
      <w:bookmarkStart w:id="6" w:name="_Toc326045669"/>
      <w:r w:rsidRPr="0052201B">
        <w:rPr>
          <w:rFonts w:ascii="Arial" w:hAnsi="Arial" w:cs="Arial"/>
          <w:bCs w:val="0"/>
          <w:i w:val="0"/>
          <w:iCs w:val="0"/>
          <w:sz w:val="22"/>
          <w:szCs w:val="22"/>
          <w:lang w:val="es-CR" w:eastAsia="es-CR"/>
        </w:rPr>
        <w:t>Presentación de cuentas reclasificadas</w:t>
      </w:r>
      <w:bookmarkEnd w:id="6"/>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Cuando se modifica la forma de presentación o la clasificación de las partidas de los Estados Financieros, se reclasifican los importes correspondientes a la información comparativa, a menos que resultase impracticable hacerlo. Para ello se revela en notas a los estados financieros: </w:t>
      </w:r>
    </w:p>
    <w:p w:rsidR="00AB5181" w:rsidRPr="001B3818" w:rsidRDefault="00AB5181" w:rsidP="00AB5181">
      <w:pPr>
        <w:spacing w:after="0" w:line="240" w:lineRule="auto"/>
        <w:ind w:left="1418" w:hanging="425"/>
        <w:rPr>
          <w:rFonts w:ascii="Arial" w:hAnsi="Arial" w:cs="Arial"/>
          <w:lang w:val="es-CR" w:eastAsia="es-CR"/>
        </w:rPr>
      </w:pPr>
    </w:p>
    <w:p w:rsidR="00AB5181" w:rsidRPr="001B3818" w:rsidRDefault="00AB5181" w:rsidP="00AB5181">
      <w:pPr>
        <w:spacing w:after="0" w:line="240" w:lineRule="auto"/>
        <w:ind w:left="1418" w:hanging="425"/>
        <w:rPr>
          <w:rFonts w:ascii="Arial" w:hAnsi="Arial" w:cs="Arial"/>
          <w:lang w:val="es-CR" w:eastAsia="es-CR"/>
        </w:rPr>
      </w:pP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(a) </w:t>
      </w:r>
      <w:r w:rsidRPr="001B3818">
        <w:rPr>
          <w:rFonts w:ascii="Arial" w:hAnsi="Arial" w:cs="Arial"/>
          <w:lang w:val="es-CR" w:eastAsia="es-CR"/>
        </w:rPr>
        <w:tab/>
        <w:t>la naturaleza de la reclasificación</w:t>
      </w: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(b) </w:t>
      </w:r>
      <w:r w:rsidRPr="001B3818">
        <w:rPr>
          <w:rFonts w:ascii="Arial" w:hAnsi="Arial" w:cs="Arial"/>
          <w:lang w:val="es-CR" w:eastAsia="es-CR"/>
        </w:rPr>
        <w:tab/>
        <w:t xml:space="preserve">el importe de cada partida </w:t>
      </w:r>
    </w:p>
    <w:p w:rsidR="00AB5181" w:rsidRPr="001B3818" w:rsidRDefault="00AB5181" w:rsidP="00AB5181">
      <w:pPr>
        <w:spacing w:after="0" w:line="240" w:lineRule="auto"/>
        <w:ind w:left="1418" w:hanging="425"/>
        <w:rPr>
          <w:rFonts w:ascii="Arial" w:hAnsi="Arial" w:cs="Arial"/>
          <w:lang w:val="es-CR" w:eastAsia="es-CR"/>
        </w:rPr>
      </w:pPr>
      <w:r w:rsidRPr="001B3818">
        <w:rPr>
          <w:rFonts w:ascii="Arial" w:hAnsi="Arial" w:cs="Arial"/>
          <w:lang w:val="es-CR" w:eastAsia="es-CR"/>
        </w:rPr>
        <w:t xml:space="preserve">(c) </w:t>
      </w:r>
      <w:r w:rsidRPr="001B3818">
        <w:rPr>
          <w:rFonts w:ascii="Arial" w:hAnsi="Arial" w:cs="Arial"/>
          <w:lang w:val="es-CR" w:eastAsia="es-CR"/>
        </w:rPr>
        <w:tab/>
        <w:t>el motivo de la reclasificación</w:t>
      </w:r>
    </w:p>
    <w:p w:rsidR="00AB5181" w:rsidRPr="001B3818" w:rsidRDefault="00AB5181" w:rsidP="00AB5181">
      <w:pPr>
        <w:spacing w:after="0" w:line="240" w:lineRule="auto"/>
        <w:rPr>
          <w:rFonts w:ascii="Arial" w:hAnsi="Arial" w:cs="Arial"/>
          <w:lang w:val="es-CR" w:eastAsia="es-CR"/>
        </w:rPr>
      </w:pPr>
    </w:p>
    <w:p w:rsidR="00AB5181" w:rsidRPr="0052201B" w:rsidRDefault="00AB5181" w:rsidP="00AB5181">
      <w:pPr>
        <w:pStyle w:val="Ttulo2"/>
        <w:rPr>
          <w:rFonts w:ascii="Arial" w:hAnsi="Arial" w:cs="Arial"/>
          <w:bCs w:val="0"/>
          <w:i w:val="0"/>
          <w:iCs w:val="0"/>
          <w:sz w:val="22"/>
          <w:szCs w:val="22"/>
          <w:lang w:val="es-CR" w:eastAsia="es-CR"/>
        </w:rPr>
      </w:pPr>
      <w:bookmarkStart w:id="7" w:name="_Toc326045670"/>
      <w:r w:rsidRPr="0052201B">
        <w:rPr>
          <w:rFonts w:ascii="Arial" w:hAnsi="Arial" w:cs="Arial"/>
          <w:bCs w:val="0"/>
          <w:i w:val="0"/>
          <w:iCs w:val="0"/>
          <w:sz w:val="22"/>
          <w:szCs w:val="22"/>
          <w:lang w:val="es-CR" w:eastAsia="es-CR"/>
        </w:rPr>
        <w:lastRenderedPageBreak/>
        <w:t>Periodicidad de los estados financieros y presupuestarios</w:t>
      </w:r>
      <w:bookmarkEnd w:id="7"/>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estados financieros se elaborarán con una periodicidad </w:t>
      </w:r>
      <w:r w:rsidR="00D6511E">
        <w:rPr>
          <w:rFonts w:ascii="Arial" w:hAnsi="Arial" w:cs="Arial"/>
          <w:lang w:val="es-CR" w:eastAsia="es-CR"/>
        </w:rPr>
        <w:t>mensual</w:t>
      </w:r>
    </w:p>
    <w:p w:rsidR="00AB5181" w:rsidRPr="001B3818" w:rsidRDefault="00AB5181" w:rsidP="00AB5181">
      <w:pPr>
        <w:spacing w:after="0" w:line="240" w:lineRule="auto"/>
        <w:rPr>
          <w:rFonts w:ascii="Arial" w:hAnsi="Arial" w:cs="Arial"/>
          <w:lang w:val="es-CR" w:eastAsia="es-CR"/>
        </w:rPr>
      </w:pPr>
    </w:p>
    <w:p w:rsidR="00AB5181" w:rsidRPr="001B3818" w:rsidRDefault="00D6511E" w:rsidP="0052201B">
      <w:pPr>
        <w:spacing w:after="0" w:line="240" w:lineRule="auto"/>
        <w:jc w:val="left"/>
        <w:rPr>
          <w:rFonts w:ascii="Arial" w:hAnsi="Arial" w:cs="Arial"/>
          <w:lang w:val="es-CR" w:eastAsia="es-CR"/>
        </w:rPr>
      </w:pPr>
      <w:r>
        <w:rPr>
          <w:rFonts w:ascii="Arial" w:hAnsi="Arial" w:cs="Arial"/>
          <w:lang w:val="es-CR" w:eastAsia="es-CR"/>
        </w:rPr>
        <w:t>Los</w:t>
      </w:r>
      <w:r w:rsidR="00AB5181" w:rsidRPr="001B3818">
        <w:rPr>
          <w:rFonts w:ascii="Arial" w:hAnsi="Arial" w:cs="Arial"/>
          <w:lang w:val="es-CR" w:eastAsia="es-CR"/>
        </w:rPr>
        <w:t xml:space="preserve"> estados financieros con períodos inferiores a un año, la institución deberá revelar además del período cubierto, lo siguiente:</w:t>
      </w:r>
      <w:r w:rsidR="00AB5181" w:rsidRPr="001B3818">
        <w:rPr>
          <w:rFonts w:ascii="Arial" w:hAnsi="Arial" w:cs="Arial"/>
          <w:lang w:val="es-CR" w:eastAsia="es-CR"/>
        </w:rPr>
        <w:br/>
      </w:r>
    </w:p>
    <w:p w:rsidR="00AB5181" w:rsidRPr="001B3818" w:rsidRDefault="00AB5181" w:rsidP="00AB5181">
      <w:pPr>
        <w:numPr>
          <w:ilvl w:val="0"/>
          <w:numId w:val="5"/>
        </w:numPr>
        <w:spacing w:after="0" w:line="240" w:lineRule="auto"/>
        <w:jc w:val="left"/>
        <w:rPr>
          <w:rFonts w:ascii="Arial" w:hAnsi="Arial" w:cs="Arial"/>
          <w:lang w:val="es-CR" w:eastAsia="es-CR"/>
        </w:rPr>
      </w:pPr>
      <w:r w:rsidRPr="001B3818">
        <w:rPr>
          <w:rFonts w:ascii="Arial" w:hAnsi="Arial" w:cs="Arial"/>
          <w:lang w:val="es-CR" w:eastAsia="es-CR"/>
        </w:rPr>
        <w:t>La razón para utilizar un período inferior,</w:t>
      </w:r>
    </w:p>
    <w:p w:rsidR="00AB5181" w:rsidRDefault="00AB5181" w:rsidP="00AB5181">
      <w:pPr>
        <w:numPr>
          <w:ilvl w:val="0"/>
          <w:numId w:val="5"/>
        </w:numPr>
        <w:spacing w:after="0" w:line="240" w:lineRule="auto"/>
        <w:jc w:val="left"/>
        <w:rPr>
          <w:rFonts w:ascii="Arial" w:hAnsi="Arial" w:cs="Arial"/>
          <w:lang w:val="es-CR" w:eastAsia="es-CR"/>
        </w:rPr>
      </w:pPr>
      <w:r w:rsidRPr="001B3818">
        <w:rPr>
          <w:rFonts w:ascii="Arial" w:hAnsi="Arial" w:cs="Arial"/>
          <w:lang w:val="es-CR" w:eastAsia="es-CR"/>
        </w:rPr>
        <w:t>El hecho de que las cifras reveladas a través de esos estados financieros no son comparables.</w:t>
      </w:r>
    </w:p>
    <w:p w:rsidR="00D6511E" w:rsidRPr="001B3818" w:rsidRDefault="00D6511E" w:rsidP="00D6511E">
      <w:pPr>
        <w:spacing w:after="0" w:line="240" w:lineRule="auto"/>
        <w:ind w:left="720"/>
        <w:jc w:val="left"/>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Por lo anterior, los estados financieros de periodos  inferiores a un año se les denominan "Estados Financieros Intermedios"</w:t>
      </w:r>
    </w:p>
    <w:p w:rsidR="00AB5181" w:rsidRPr="0052201B" w:rsidRDefault="00AB5181" w:rsidP="00AB5181">
      <w:pPr>
        <w:pStyle w:val="Ttulo2"/>
        <w:rPr>
          <w:rFonts w:ascii="Arial" w:hAnsi="Arial" w:cs="Arial"/>
          <w:bCs w:val="0"/>
          <w:i w:val="0"/>
          <w:iCs w:val="0"/>
          <w:sz w:val="22"/>
          <w:szCs w:val="22"/>
          <w:lang w:val="es-CR" w:eastAsia="es-CR"/>
        </w:rPr>
      </w:pPr>
      <w:bookmarkStart w:id="8" w:name="_Toc326045671"/>
      <w:r w:rsidRPr="0052201B">
        <w:rPr>
          <w:rFonts w:ascii="Arial" w:hAnsi="Arial" w:cs="Arial"/>
          <w:bCs w:val="0"/>
          <w:i w:val="0"/>
          <w:iCs w:val="0"/>
          <w:sz w:val="22"/>
          <w:szCs w:val="22"/>
          <w:lang w:val="es-CR" w:eastAsia="es-CR"/>
        </w:rPr>
        <w:t>Políticas contables, cambios en las estimaciones contables y errores</w:t>
      </w:r>
      <w:bookmarkEnd w:id="8"/>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El objetivo de establecer  políticas contables, cambios en las estimaciones contables y errores, es prescribir los criterios para seleccionar y modificar las políticas contables, así como el tratamiento contable y la información a revelar acerca de los cambios en las políticas contables, estimaciones contables y correcciones de errores, que debe definir la Institución.</w:t>
      </w:r>
    </w:p>
    <w:p w:rsidR="00AB5181" w:rsidRPr="00EE0CFE" w:rsidRDefault="00AB5181" w:rsidP="00AB5181">
      <w:pPr>
        <w:pStyle w:val="Ttulo2"/>
        <w:rPr>
          <w:rFonts w:ascii="Arial" w:hAnsi="Arial" w:cs="Arial"/>
          <w:bCs w:val="0"/>
          <w:i w:val="0"/>
          <w:iCs w:val="0"/>
          <w:sz w:val="22"/>
          <w:szCs w:val="22"/>
          <w:lang w:val="es-CR" w:eastAsia="es-CR"/>
        </w:rPr>
      </w:pPr>
      <w:bookmarkStart w:id="9" w:name="_Toc326045672"/>
      <w:r w:rsidRPr="00EE0CFE">
        <w:rPr>
          <w:rFonts w:ascii="Arial" w:hAnsi="Arial" w:cs="Arial"/>
          <w:bCs w:val="0"/>
          <w:i w:val="0"/>
          <w:iCs w:val="0"/>
          <w:sz w:val="22"/>
          <w:szCs w:val="22"/>
          <w:lang w:val="es-CR" w:eastAsia="es-CR"/>
        </w:rPr>
        <w:t>Cambio en una política contable y/o presupuestaria</w:t>
      </w:r>
      <w:bookmarkEnd w:id="9"/>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La Institución cambiará una política contable, si  el cambio es requerido por una norma contable o que los estados financieros muestren información confiable y relevante sobre las transacciones, hechos o condiciones que se registren. Y cuando haya cambios en la normativa aplicable.</w:t>
      </w:r>
    </w:p>
    <w:p w:rsidR="00AB5181" w:rsidRPr="001B3818" w:rsidRDefault="00AB5181" w:rsidP="00AB5181">
      <w:pPr>
        <w:spacing w:after="0" w:line="240" w:lineRule="auto"/>
        <w:rPr>
          <w:rFonts w:ascii="Arial" w:hAnsi="Arial" w:cs="Arial"/>
          <w:lang w:val="es-CR" w:eastAsia="es-CR"/>
        </w:rPr>
      </w:pPr>
    </w:p>
    <w:p w:rsidR="00AB5181" w:rsidRPr="00EE0CFE" w:rsidRDefault="00AB5181" w:rsidP="00AB5181">
      <w:pPr>
        <w:pStyle w:val="Ttulo2"/>
        <w:rPr>
          <w:rFonts w:ascii="Arial" w:hAnsi="Arial" w:cs="Arial"/>
          <w:bCs w:val="0"/>
          <w:i w:val="0"/>
          <w:iCs w:val="0"/>
          <w:sz w:val="22"/>
          <w:szCs w:val="22"/>
          <w:lang w:val="es-CR" w:eastAsia="es-CR"/>
        </w:rPr>
      </w:pPr>
      <w:bookmarkStart w:id="10" w:name="_Toc326045676"/>
      <w:r w:rsidRPr="00EE0CFE">
        <w:rPr>
          <w:rFonts w:ascii="Arial" w:hAnsi="Arial" w:cs="Arial"/>
          <w:bCs w:val="0"/>
          <w:i w:val="0"/>
          <w:iCs w:val="0"/>
          <w:sz w:val="22"/>
          <w:szCs w:val="22"/>
          <w:lang w:val="es-CR" w:eastAsia="es-CR"/>
        </w:rPr>
        <w:t>Inventarios</w:t>
      </w:r>
      <w:bookmarkEnd w:id="10"/>
      <w:r w:rsidRPr="00EE0CFE">
        <w:rPr>
          <w:rFonts w:ascii="Arial" w:hAnsi="Arial" w:cs="Arial"/>
          <w:bCs w:val="0"/>
          <w:i w:val="0"/>
          <w:iCs w:val="0"/>
          <w:sz w:val="22"/>
          <w:szCs w:val="22"/>
          <w:lang w:val="es-CR" w:eastAsia="es-CR"/>
        </w:rPr>
        <w:t xml:space="preserve"> </w:t>
      </w: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Los inventarios están valorados al precio más bajo entre costos y mercado. El costo es determinado por el método de costos promedios.</w:t>
      </w:r>
    </w:p>
    <w:p w:rsidR="00AB5181" w:rsidRPr="00EE0CFE" w:rsidRDefault="00AB5181" w:rsidP="00AB5181">
      <w:pPr>
        <w:pStyle w:val="Ttulo2"/>
        <w:rPr>
          <w:rFonts w:ascii="Arial" w:hAnsi="Arial" w:cs="Arial"/>
          <w:bCs w:val="0"/>
          <w:i w:val="0"/>
          <w:iCs w:val="0"/>
          <w:sz w:val="22"/>
          <w:szCs w:val="22"/>
          <w:lang w:val="es-CR" w:eastAsia="es-CR"/>
        </w:rPr>
      </w:pPr>
      <w:r w:rsidRPr="00EE0CFE">
        <w:rPr>
          <w:rFonts w:ascii="Arial" w:hAnsi="Arial" w:cs="Arial"/>
          <w:bCs w:val="0"/>
          <w:i w:val="0"/>
          <w:iCs w:val="0"/>
          <w:sz w:val="22"/>
          <w:szCs w:val="22"/>
          <w:lang w:val="es-CR" w:eastAsia="es-CR"/>
        </w:rPr>
        <w:t>Propiedad, planta y equipo</w:t>
      </w:r>
    </w:p>
    <w:p w:rsidR="004F1B3D" w:rsidRDefault="004F1B3D" w:rsidP="004F1B3D">
      <w:pPr>
        <w:spacing w:after="0" w:line="240" w:lineRule="auto"/>
        <w:rPr>
          <w:rFonts w:ascii="Arial" w:hAnsi="Arial" w:cs="Arial"/>
          <w:lang w:val="es-CR" w:eastAsia="es-CR"/>
        </w:rPr>
      </w:pPr>
      <w:r w:rsidRPr="001B3818">
        <w:rPr>
          <w:rFonts w:ascii="Arial" w:hAnsi="Arial" w:cs="Arial"/>
          <w:lang w:val="es-CR" w:eastAsia="es-CR"/>
        </w:rPr>
        <w:t>Se registran al costo de adquisición o construcción. La depreciación de los activos se registra en los resultados y su cuantía se obtiene de la aplicación del método de línea recta, con base en</w:t>
      </w:r>
      <w:r>
        <w:rPr>
          <w:rFonts w:ascii="Arial" w:hAnsi="Arial" w:cs="Arial"/>
          <w:lang w:val="es-CR" w:eastAsia="es-CR"/>
        </w:rPr>
        <w:t xml:space="preserve"> los años de vida útil estimada </w:t>
      </w:r>
      <w:r w:rsidRPr="001B3818">
        <w:rPr>
          <w:rFonts w:ascii="Arial" w:hAnsi="Arial" w:cs="Arial"/>
          <w:lang w:val="es-CR" w:eastAsia="es-CR"/>
        </w:rPr>
        <w:t xml:space="preserve"> para cada activo,</w:t>
      </w:r>
      <w:r>
        <w:rPr>
          <w:rFonts w:ascii="Arial" w:hAnsi="Arial" w:cs="Arial"/>
          <w:lang w:val="es-CR" w:eastAsia="es-CR"/>
        </w:rPr>
        <w:t xml:space="preserve"> de acuerdo a lo que </w:t>
      </w:r>
      <w:r w:rsidRPr="001B3818">
        <w:rPr>
          <w:rFonts w:ascii="Arial" w:hAnsi="Arial" w:cs="Arial"/>
          <w:lang w:val="es-CR" w:eastAsia="es-CR"/>
        </w:rPr>
        <w:t xml:space="preserve">  </w:t>
      </w:r>
      <w:r w:rsidRPr="00A812F7">
        <w:rPr>
          <w:rFonts w:ascii="Arial" w:hAnsi="Arial" w:cs="Arial"/>
          <w:lang w:val="es-CR" w:eastAsia="es-CR"/>
        </w:rPr>
        <w:t>establece la directriz CN001-2009 “Valoración, revaluación, depreciación de Propiedad, planta y equipo” del 23 de noviembre 2009.</w:t>
      </w:r>
    </w:p>
    <w:p w:rsidR="00AB5181" w:rsidRPr="001B3818" w:rsidRDefault="00AB5181" w:rsidP="00AB5181">
      <w:pPr>
        <w:tabs>
          <w:tab w:val="left" w:pos="0"/>
        </w:tabs>
        <w:spacing w:after="0" w:line="240" w:lineRule="auto"/>
        <w:ind w:right="50"/>
        <w:rPr>
          <w:rFonts w:ascii="Arial" w:hAnsi="Arial" w:cs="Arial"/>
          <w:lang w:val="es-CR"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t>Los desembolsos por concepto de mantenimiento, reparaciones que extienden la vida útil y mejoras menores, se capitalizan en el momento en que se incurren.</w:t>
      </w:r>
    </w:p>
    <w:p w:rsidR="00AB5181" w:rsidRPr="001B3818" w:rsidRDefault="00AB5181" w:rsidP="00AB5181">
      <w:pPr>
        <w:spacing w:after="0" w:line="240" w:lineRule="auto"/>
        <w:rPr>
          <w:rFonts w:ascii="Arial" w:hAnsi="Arial" w:cs="Arial"/>
          <w:lang w:val="es-CR" w:eastAsia="es-CR"/>
        </w:rPr>
      </w:pPr>
    </w:p>
    <w:p w:rsidR="00AB5181"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Se capitalizan los activos cuyos costos sean iguales o superiores al 25% del monto del salario base tal como lo establece el anexo No.1, punto 2.1 de </w:t>
      </w:r>
      <w:smartTag w:uri="urn:schemas-microsoft-com:office:smarttags" w:element="PersonName">
        <w:smartTagPr>
          <w:attr w:name="ProductID" w:val="la Ley"/>
        </w:smartTagPr>
        <w:r w:rsidRPr="001B3818">
          <w:rPr>
            <w:rFonts w:ascii="Arial" w:hAnsi="Arial" w:cs="Arial"/>
            <w:lang w:val="es-CR" w:eastAsia="es-CR"/>
          </w:rPr>
          <w:t>la Ley</w:t>
        </w:r>
      </w:smartTag>
      <w:r w:rsidRPr="001B3818">
        <w:rPr>
          <w:rFonts w:ascii="Arial" w:hAnsi="Arial" w:cs="Arial"/>
          <w:lang w:val="es-CR" w:eastAsia="es-CR"/>
        </w:rPr>
        <w:t xml:space="preserve"> del Impuesto sobre </w:t>
      </w:r>
      <w:smartTag w:uri="urn:schemas-microsoft-com:office:smarttags" w:element="PersonName">
        <w:smartTagPr>
          <w:attr w:name="ProductID" w:val="la Renta"/>
        </w:smartTagPr>
        <w:r w:rsidRPr="001B3818">
          <w:rPr>
            <w:rFonts w:ascii="Arial" w:hAnsi="Arial" w:cs="Arial"/>
            <w:lang w:val="es-CR" w:eastAsia="es-CR"/>
          </w:rPr>
          <w:t>la Renta</w:t>
        </w:r>
      </w:smartTag>
      <w:r w:rsidRPr="001B3818">
        <w:rPr>
          <w:rFonts w:ascii="Arial" w:hAnsi="Arial" w:cs="Arial"/>
          <w:lang w:val="es-CR" w:eastAsia="es-CR"/>
        </w:rPr>
        <w:t xml:space="preserve"> su reglamento , para tal efecto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xml:space="preserve"> toma como salario base el  del oficinista 1 del Poder Judicial.</w:t>
      </w:r>
    </w:p>
    <w:p w:rsidR="004F1B3D" w:rsidRPr="001B3818" w:rsidRDefault="004F1B3D" w:rsidP="00AB5181">
      <w:pPr>
        <w:spacing w:after="0" w:line="240" w:lineRule="auto"/>
        <w:rPr>
          <w:rFonts w:ascii="Arial" w:hAnsi="Arial" w:cs="Arial"/>
          <w:lang w:val="es-CR" w:eastAsia="es-CR"/>
        </w:rPr>
      </w:pPr>
    </w:p>
    <w:p w:rsidR="00A812F7" w:rsidRPr="00A812F7" w:rsidRDefault="00AB5181" w:rsidP="00096832">
      <w:pPr>
        <w:spacing w:line="240" w:lineRule="auto"/>
        <w:rPr>
          <w:rFonts w:ascii="Arial" w:hAnsi="Arial" w:cs="Arial"/>
          <w:lang w:val="es-CR" w:eastAsia="es-CR"/>
        </w:rPr>
      </w:pPr>
      <w:r w:rsidRPr="001B3818">
        <w:rPr>
          <w:rFonts w:ascii="Arial" w:hAnsi="Arial" w:cs="Arial"/>
          <w:lang w:val="es-CR" w:eastAsia="es-CR"/>
        </w:rPr>
        <w:t xml:space="preserve">El método utilizado para registrar los gastos de depreciación es de línea recta, y la vida estimada, es la </w:t>
      </w:r>
      <w:r w:rsidR="00A812F7" w:rsidRPr="00A812F7">
        <w:rPr>
          <w:rFonts w:ascii="Arial" w:hAnsi="Arial" w:cs="Arial"/>
          <w:lang w:val="es-CR" w:eastAsia="es-CR"/>
        </w:rPr>
        <w:t xml:space="preserve">establece la directriz CN001-2009 “Valoración, revaluación, depreciación de Propiedad, planta y equipo” del 23 de noviembre 2009. </w:t>
      </w:r>
    </w:p>
    <w:p w:rsidR="00AB5181" w:rsidRPr="00A812F7" w:rsidRDefault="00AB5181" w:rsidP="00AB5181">
      <w:pPr>
        <w:spacing w:after="0" w:line="240" w:lineRule="auto"/>
        <w:rPr>
          <w:rFonts w:ascii="Arial" w:hAnsi="Arial" w:cs="Arial"/>
          <w:lang w:eastAsia="es-CR"/>
        </w:rPr>
      </w:pPr>
    </w:p>
    <w:p w:rsidR="00AB5181" w:rsidRPr="001B3818" w:rsidRDefault="00AB5181" w:rsidP="00AB5181">
      <w:pPr>
        <w:spacing w:after="0" w:line="240" w:lineRule="auto"/>
        <w:rPr>
          <w:rFonts w:ascii="Arial" w:hAnsi="Arial" w:cs="Arial"/>
          <w:lang w:val="es-CR" w:eastAsia="es-CR"/>
        </w:rPr>
      </w:pPr>
      <w:r w:rsidRPr="001B3818">
        <w:rPr>
          <w:rFonts w:ascii="Arial" w:hAnsi="Arial" w:cs="Arial"/>
          <w:lang w:val="es-CR" w:eastAsia="es-CR"/>
        </w:rPr>
        <w:lastRenderedPageBreak/>
        <w:t xml:space="preserve">Las propiedades, que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xml:space="preserve"> ha cedido para el uso de otras instituciones, como las utilizadas por:  Sindicato de Trabajadores, Asociaciones, Colegio Humanístico, Colegio Científico,  etc. , y  las dadas en arrendamiento (sodas), no serán consideradas como “propiedades de inversión”  ya que están destinadas a prestar un servicio social y en el caso de las sodas el ingreso generado por el arrendamiento es secundario, ya que el fin es que se brinde un servicio a bajo costo a los estudiantes y funcionarios.  </w:t>
      </w:r>
    </w:p>
    <w:p w:rsidR="00AB5181" w:rsidRPr="001B3818" w:rsidRDefault="00AB5181" w:rsidP="00AB5181">
      <w:pPr>
        <w:spacing w:after="0" w:line="240" w:lineRule="auto"/>
        <w:rPr>
          <w:rFonts w:ascii="Arial" w:hAnsi="Arial" w:cs="Arial"/>
          <w:lang w:val="es-CR" w:eastAsia="es-CR"/>
        </w:rPr>
      </w:pPr>
    </w:p>
    <w:p w:rsidR="00AB5181" w:rsidRDefault="00AB5181" w:rsidP="00AB5181">
      <w:pPr>
        <w:spacing w:after="0" w:line="240" w:lineRule="auto"/>
        <w:rPr>
          <w:rFonts w:ascii="Arial" w:hAnsi="Arial" w:cs="Arial"/>
          <w:lang w:val="es-CR" w:eastAsia="es-CR"/>
        </w:rPr>
      </w:pPr>
      <w:r w:rsidRPr="001B3818">
        <w:rPr>
          <w:rFonts w:ascii="Arial" w:hAnsi="Arial" w:cs="Arial"/>
          <w:lang w:val="es-CR" w:eastAsia="es-CR"/>
        </w:rPr>
        <w:t xml:space="preserve">Los activos biológicos, para efectos de registros contables no se registraran como activos fijos,  ya que el fin primordial de </w:t>
      </w:r>
      <w:smartTag w:uri="urn:schemas-microsoft-com:office:smarttags" w:element="PersonName">
        <w:smartTagPr>
          <w:attr w:name="ProductID" w:val="la Universidad"/>
        </w:smartTagPr>
        <w:r w:rsidRPr="001B3818">
          <w:rPr>
            <w:rFonts w:ascii="Arial" w:hAnsi="Arial" w:cs="Arial"/>
            <w:lang w:val="es-CR" w:eastAsia="es-CR"/>
          </w:rPr>
          <w:t>la Universidad</w:t>
        </w:r>
      </w:smartTag>
      <w:r w:rsidRPr="001B3818">
        <w:rPr>
          <w:rFonts w:ascii="Arial" w:hAnsi="Arial" w:cs="Arial"/>
          <w:lang w:val="es-CR" w:eastAsia="es-CR"/>
        </w:rPr>
        <w:t>, es utilizarlos  únicamente para fines de investigación.</w:t>
      </w:r>
    </w:p>
    <w:p w:rsidR="00936A1F" w:rsidRDefault="00936A1F" w:rsidP="00AB5181">
      <w:pPr>
        <w:spacing w:after="0" w:line="240" w:lineRule="auto"/>
        <w:rPr>
          <w:rFonts w:ascii="Arial" w:hAnsi="Arial" w:cs="Arial"/>
          <w:lang w:val="es-CR" w:eastAsia="es-CR"/>
        </w:rPr>
      </w:pPr>
    </w:p>
    <w:p w:rsidR="00936A1F" w:rsidRDefault="00936A1F" w:rsidP="00AB5181">
      <w:pPr>
        <w:spacing w:after="0" w:line="240" w:lineRule="auto"/>
        <w:rPr>
          <w:rFonts w:ascii="Arial" w:hAnsi="Arial" w:cs="Arial"/>
          <w:b/>
          <w:lang w:val="es-CR" w:eastAsia="es-CR"/>
        </w:rPr>
      </w:pPr>
      <w:r>
        <w:rPr>
          <w:rFonts w:ascii="Arial" w:hAnsi="Arial" w:cs="Arial"/>
          <w:b/>
          <w:lang w:val="es-CR" w:eastAsia="es-CR"/>
        </w:rPr>
        <w:t>Administración del riesgo financiero</w:t>
      </w:r>
    </w:p>
    <w:p w:rsidR="00936A1F" w:rsidRDefault="00936A1F" w:rsidP="00AB5181">
      <w:pPr>
        <w:spacing w:after="0" w:line="240" w:lineRule="auto"/>
        <w:rPr>
          <w:rFonts w:ascii="Arial" w:hAnsi="Arial" w:cs="Arial"/>
          <w:lang w:val="es-CR" w:eastAsia="es-CR"/>
        </w:rPr>
      </w:pPr>
    </w:p>
    <w:p w:rsidR="00936A1F" w:rsidRDefault="00936A1F" w:rsidP="00AB5181">
      <w:pPr>
        <w:spacing w:after="0" w:line="240" w:lineRule="auto"/>
        <w:rPr>
          <w:rFonts w:ascii="Arial" w:hAnsi="Arial" w:cs="Arial"/>
          <w:lang w:val="es-CR" w:eastAsia="es-CR"/>
        </w:rPr>
      </w:pPr>
      <w:r>
        <w:rPr>
          <w:rFonts w:ascii="Arial" w:hAnsi="Arial" w:cs="Arial"/>
          <w:lang w:val="es-CR" w:eastAsia="es-CR"/>
        </w:rPr>
        <w:t>En el transcurso normal de sus operaciones, la Institución está expuesta a una variedad de riesgos financieros, los cuales trata de minimizar a través de la aplicación de políticas y procedimientos de administración de riesgo.  Estas políticas cubren el riesgo de mercado, el riesgo de liquidez, el riesgo de tasas de interés y el riesgo cambiario.</w:t>
      </w:r>
    </w:p>
    <w:p w:rsidR="0007759A" w:rsidRDefault="0007759A" w:rsidP="00AB5181">
      <w:pPr>
        <w:spacing w:after="0" w:line="240" w:lineRule="auto"/>
        <w:rPr>
          <w:rFonts w:ascii="Arial" w:hAnsi="Arial" w:cs="Arial"/>
          <w:lang w:val="es-CR" w:eastAsia="es-CR"/>
        </w:rPr>
      </w:pPr>
    </w:p>
    <w:p w:rsidR="0007759A" w:rsidRDefault="0007759A" w:rsidP="00AB5181">
      <w:pPr>
        <w:spacing w:after="0" w:line="240" w:lineRule="auto"/>
        <w:rPr>
          <w:rFonts w:ascii="Arial" w:hAnsi="Arial" w:cs="Arial"/>
          <w:b/>
          <w:lang w:val="es-CR" w:eastAsia="es-CR"/>
        </w:rPr>
      </w:pPr>
      <w:r>
        <w:rPr>
          <w:rFonts w:ascii="Arial" w:hAnsi="Arial" w:cs="Arial"/>
          <w:b/>
          <w:lang w:val="es-CR" w:eastAsia="es-CR"/>
        </w:rPr>
        <w:t>Riesgo de mercado</w:t>
      </w:r>
    </w:p>
    <w:p w:rsidR="0007759A" w:rsidRDefault="0007759A" w:rsidP="00AB5181">
      <w:pPr>
        <w:spacing w:after="0" w:line="240" w:lineRule="auto"/>
        <w:rPr>
          <w:rFonts w:ascii="Arial" w:hAnsi="Arial" w:cs="Arial"/>
          <w:b/>
          <w:lang w:val="es-CR" w:eastAsia="es-CR"/>
        </w:rPr>
      </w:pPr>
    </w:p>
    <w:p w:rsidR="0007759A" w:rsidRDefault="00C72C39" w:rsidP="00AB5181">
      <w:pPr>
        <w:spacing w:after="0" w:line="240" w:lineRule="auto"/>
        <w:rPr>
          <w:rFonts w:ascii="Arial" w:hAnsi="Arial" w:cs="Arial"/>
          <w:lang w:val="es-CR" w:eastAsia="es-CR"/>
        </w:rPr>
      </w:pPr>
      <w:r>
        <w:rPr>
          <w:rFonts w:ascii="Arial" w:hAnsi="Arial" w:cs="Arial"/>
          <w:lang w:val="es-CR" w:eastAsia="es-CR"/>
        </w:rPr>
        <w:t xml:space="preserve">Las Universidades estatales han mantenido un predominio sobre el mercado de la educación superior.  </w:t>
      </w:r>
      <w:r w:rsidR="00A9585F">
        <w:rPr>
          <w:rFonts w:ascii="Arial" w:hAnsi="Arial" w:cs="Arial"/>
          <w:lang w:val="es-CR" w:eastAsia="es-CR"/>
        </w:rPr>
        <w:t xml:space="preserve">Actualmente existen varias universidades privadas que proporcionan educación superior a los estudiantes.  Este mercado se ha transformado para ofrecer alternativas de educación.  La Universidad mantiene cobros </w:t>
      </w:r>
      <w:r w:rsidR="00DF7BC9">
        <w:rPr>
          <w:rFonts w:ascii="Arial" w:hAnsi="Arial" w:cs="Arial"/>
          <w:lang w:val="es-CR" w:eastAsia="es-CR"/>
        </w:rPr>
        <w:t xml:space="preserve">por educación superior sustancialmente menores a los de las universidades privadas, lo que le proporciona ventajas competitivas.  Esto significa afluencia adecuada de estudiantes </w:t>
      </w:r>
      <w:r w:rsidR="004A6E00">
        <w:rPr>
          <w:rFonts w:ascii="Arial" w:hAnsi="Arial" w:cs="Arial"/>
          <w:lang w:val="es-CR" w:eastAsia="es-CR"/>
        </w:rPr>
        <w:t>para generar ingresos, además cuenta con las transferencias del Estado Costarricense como parte de sus obligaciones de financiamiento de la educación superior.</w:t>
      </w:r>
    </w:p>
    <w:p w:rsidR="00733706" w:rsidRDefault="00733706" w:rsidP="00AB5181">
      <w:pPr>
        <w:spacing w:after="0" w:line="240" w:lineRule="auto"/>
        <w:rPr>
          <w:rFonts w:ascii="Arial" w:hAnsi="Arial" w:cs="Arial"/>
          <w:lang w:val="es-CR" w:eastAsia="es-CR"/>
        </w:rPr>
      </w:pPr>
    </w:p>
    <w:p w:rsidR="00733706" w:rsidRDefault="00733706" w:rsidP="00AB5181">
      <w:pPr>
        <w:spacing w:after="0" w:line="240" w:lineRule="auto"/>
        <w:rPr>
          <w:rFonts w:ascii="Arial" w:hAnsi="Arial" w:cs="Arial"/>
          <w:b/>
          <w:lang w:val="es-CR" w:eastAsia="es-CR"/>
        </w:rPr>
      </w:pPr>
      <w:r w:rsidRPr="00733706">
        <w:rPr>
          <w:rFonts w:ascii="Arial" w:hAnsi="Arial" w:cs="Arial"/>
          <w:b/>
          <w:lang w:val="es-CR" w:eastAsia="es-CR"/>
        </w:rPr>
        <w:t>Riesgo de liquidez</w:t>
      </w:r>
    </w:p>
    <w:p w:rsidR="008A4237" w:rsidRDefault="008A4237" w:rsidP="00AB5181">
      <w:pPr>
        <w:spacing w:after="0" w:line="240" w:lineRule="auto"/>
        <w:rPr>
          <w:rFonts w:ascii="Arial" w:hAnsi="Arial" w:cs="Arial"/>
          <w:b/>
          <w:lang w:val="es-CR" w:eastAsia="es-CR"/>
        </w:rPr>
      </w:pPr>
    </w:p>
    <w:p w:rsidR="008A4237" w:rsidRDefault="008A4237" w:rsidP="00AB5181">
      <w:pPr>
        <w:spacing w:after="0" w:line="240" w:lineRule="auto"/>
        <w:rPr>
          <w:rFonts w:ascii="Arial" w:hAnsi="Arial" w:cs="Arial"/>
          <w:lang w:val="es-CR" w:eastAsia="es-CR"/>
        </w:rPr>
      </w:pPr>
      <w:r>
        <w:rPr>
          <w:rFonts w:ascii="Arial" w:hAnsi="Arial" w:cs="Arial"/>
          <w:lang w:val="es-CR" w:eastAsia="es-CR"/>
        </w:rPr>
        <w:t xml:space="preserve">Se dispone de inversiones en valores del sector público que proporcionan liquidez.  Los ingresos líquidos más importantes para financiar las operaciones de la Universidad son girados por el Fondo de Enseñanza de la Educación Superior (FEES), </w:t>
      </w:r>
      <w:r w:rsidR="00940A9D">
        <w:rPr>
          <w:rFonts w:ascii="Arial" w:hAnsi="Arial" w:cs="Arial"/>
          <w:lang w:val="es-CR" w:eastAsia="es-CR"/>
        </w:rPr>
        <w:t>los que generan rendimientos que son utilizados por la Universidad en el desarrollo de sus operaciones.</w:t>
      </w:r>
    </w:p>
    <w:p w:rsidR="00A3401F" w:rsidRDefault="00A3401F" w:rsidP="00AB5181">
      <w:pPr>
        <w:spacing w:after="0" w:line="240" w:lineRule="auto"/>
        <w:rPr>
          <w:rFonts w:ascii="Arial" w:hAnsi="Arial" w:cs="Arial"/>
          <w:lang w:val="es-CR" w:eastAsia="es-CR"/>
        </w:rPr>
      </w:pPr>
    </w:p>
    <w:p w:rsidR="00A3401F" w:rsidRDefault="00A3401F" w:rsidP="00AB5181">
      <w:pPr>
        <w:spacing w:after="0" w:line="240" w:lineRule="auto"/>
        <w:rPr>
          <w:rFonts w:ascii="Arial" w:hAnsi="Arial" w:cs="Arial"/>
          <w:b/>
          <w:lang w:val="es-CR" w:eastAsia="es-CR"/>
        </w:rPr>
      </w:pPr>
      <w:r w:rsidRPr="00A3401F">
        <w:rPr>
          <w:rFonts w:ascii="Arial" w:hAnsi="Arial" w:cs="Arial"/>
          <w:b/>
          <w:lang w:val="es-CR" w:eastAsia="es-CR"/>
        </w:rPr>
        <w:t>Riesgo de tasa de interés</w:t>
      </w:r>
    </w:p>
    <w:p w:rsidR="00A3401F" w:rsidRDefault="00A3401F" w:rsidP="00AB5181">
      <w:pPr>
        <w:spacing w:after="0" w:line="240" w:lineRule="auto"/>
        <w:rPr>
          <w:rFonts w:ascii="Arial" w:hAnsi="Arial" w:cs="Arial"/>
          <w:b/>
          <w:lang w:val="es-CR" w:eastAsia="es-CR"/>
        </w:rPr>
      </w:pPr>
    </w:p>
    <w:p w:rsidR="00A3401F" w:rsidRDefault="00A3401F" w:rsidP="00AB5181">
      <w:pPr>
        <w:spacing w:after="0" w:line="240" w:lineRule="auto"/>
        <w:rPr>
          <w:rFonts w:ascii="Arial" w:hAnsi="Arial" w:cs="Arial"/>
          <w:lang w:val="es-CR" w:eastAsia="es-CR"/>
        </w:rPr>
      </w:pPr>
      <w:r>
        <w:rPr>
          <w:rFonts w:ascii="Arial" w:hAnsi="Arial" w:cs="Arial"/>
          <w:lang w:val="es-CR" w:eastAsia="es-CR"/>
        </w:rPr>
        <w:t>La Institución mantiene activos y pasivos importantes representados principalmente por efectivo, inversiones en valores y préstamos bancarios, los cuales están sujetos a variación en las tasas de interés.  La Institución espera que en el corto plazo la</w:t>
      </w:r>
      <w:r w:rsidR="007B5AB5">
        <w:rPr>
          <w:rFonts w:ascii="Arial" w:hAnsi="Arial" w:cs="Arial"/>
          <w:lang w:val="es-CR" w:eastAsia="es-CR"/>
        </w:rPr>
        <w:t xml:space="preserve"> tasa de interés que paga no se incremente significativamente.</w:t>
      </w:r>
    </w:p>
    <w:p w:rsidR="007B5AB5" w:rsidRDefault="007B5AB5" w:rsidP="00AB5181">
      <w:pPr>
        <w:spacing w:after="0" w:line="240" w:lineRule="auto"/>
        <w:rPr>
          <w:rFonts w:ascii="Arial" w:hAnsi="Arial" w:cs="Arial"/>
          <w:lang w:val="es-CR" w:eastAsia="es-CR"/>
        </w:rPr>
      </w:pPr>
    </w:p>
    <w:p w:rsidR="007B5AB5" w:rsidRDefault="007B5AB5" w:rsidP="00AB5181">
      <w:pPr>
        <w:spacing w:after="0" w:line="240" w:lineRule="auto"/>
        <w:rPr>
          <w:rFonts w:ascii="Arial" w:hAnsi="Arial" w:cs="Arial"/>
          <w:b/>
          <w:lang w:val="es-CR" w:eastAsia="es-CR"/>
        </w:rPr>
      </w:pPr>
      <w:r w:rsidRPr="007B5AB5">
        <w:rPr>
          <w:rFonts w:ascii="Arial" w:hAnsi="Arial" w:cs="Arial"/>
          <w:b/>
          <w:lang w:val="es-CR" w:eastAsia="es-CR"/>
        </w:rPr>
        <w:t>Riesg</w:t>
      </w:r>
      <w:r>
        <w:rPr>
          <w:rFonts w:ascii="Arial" w:hAnsi="Arial" w:cs="Arial"/>
          <w:b/>
          <w:lang w:val="es-CR" w:eastAsia="es-CR"/>
        </w:rPr>
        <w:t>o de tipo de cambio</w:t>
      </w:r>
    </w:p>
    <w:p w:rsidR="007B5AB5" w:rsidRDefault="007B5AB5" w:rsidP="00AB5181">
      <w:pPr>
        <w:spacing w:after="0" w:line="240" w:lineRule="auto"/>
        <w:rPr>
          <w:rFonts w:ascii="Arial" w:hAnsi="Arial" w:cs="Arial"/>
          <w:b/>
          <w:lang w:val="es-CR" w:eastAsia="es-CR"/>
        </w:rPr>
      </w:pPr>
    </w:p>
    <w:p w:rsidR="007B5AB5" w:rsidRPr="007B5AB5" w:rsidRDefault="007B5AB5" w:rsidP="00AB5181">
      <w:pPr>
        <w:spacing w:after="0" w:line="240" w:lineRule="auto"/>
        <w:rPr>
          <w:rFonts w:ascii="Arial" w:hAnsi="Arial" w:cs="Arial"/>
          <w:lang w:val="es-CR" w:eastAsia="es-CR"/>
        </w:rPr>
      </w:pPr>
      <w:r>
        <w:rPr>
          <w:rFonts w:ascii="Arial" w:hAnsi="Arial" w:cs="Arial"/>
          <w:lang w:val="es-CR" w:eastAsia="es-CR"/>
        </w:rPr>
        <w:t>El colón costarricense podría experimentar devaluaciones o apreciaciones importantes con respecto al dólar estadounidense, de acuerdo con la política de bandas cambiarias del Banco Central de Costa Rica.  Al 3</w:t>
      </w:r>
      <w:r w:rsidR="00B12C34">
        <w:rPr>
          <w:rFonts w:ascii="Arial" w:hAnsi="Arial" w:cs="Arial"/>
          <w:lang w:val="es-CR" w:eastAsia="es-CR"/>
        </w:rPr>
        <w:t>1</w:t>
      </w:r>
      <w:r>
        <w:rPr>
          <w:rFonts w:ascii="Arial" w:hAnsi="Arial" w:cs="Arial"/>
          <w:lang w:val="es-CR" w:eastAsia="es-CR"/>
        </w:rPr>
        <w:t xml:space="preserve"> de </w:t>
      </w:r>
      <w:r w:rsidR="00CF3C8D">
        <w:rPr>
          <w:rFonts w:ascii="Arial" w:hAnsi="Arial" w:cs="Arial"/>
          <w:lang w:val="es-CR" w:eastAsia="es-CR"/>
        </w:rPr>
        <w:t>enero</w:t>
      </w:r>
      <w:r>
        <w:rPr>
          <w:rFonts w:ascii="Arial" w:hAnsi="Arial" w:cs="Arial"/>
          <w:lang w:val="es-CR" w:eastAsia="es-CR"/>
        </w:rPr>
        <w:t xml:space="preserve"> del 201</w:t>
      </w:r>
      <w:r w:rsidR="00CF3C8D">
        <w:rPr>
          <w:rFonts w:ascii="Arial" w:hAnsi="Arial" w:cs="Arial"/>
          <w:lang w:val="es-CR" w:eastAsia="es-CR"/>
        </w:rPr>
        <w:t>9</w:t>
      </w:r>
      <w:r w:rsidR="0016086A">
        <w:rPr>
          <w:rFonts w:ascii="Arial" w:hAnsi="Arial" w:cs="Arial"/>
          <w:lang w:val="es-CR" w:eastAsia="es-CR"/>
        </w:rPr>
        <w:t xml:space="preserve"> </w:t>
      </w:r>
      <w:r w:rsidR="007637DA">
        <w:rPr>
          <w:rFonts w:ascii="Arial" w:hAnsi="Arial" w:cs="Arial"/>
          <w:lang w:val="es-CR" w:eastAsia="es-CR"/>
        </w:rPr>
        <w:t>los tipos de cambio de referencia para la compra y venta de dólares estadounidense</w:t>
      </w:r>
      <w:r w:rsidR="004313F8">
        <w:rPr>
          <w:rFonts w:ascii="Arial" w:hAnsi="Arial" w:cs="Arial"/>
          <w:lang w:val="es-CR" w:eastAsia="es-CR"/>
        </w:rPr>
        <w:t xml:space="preserve"> eran de ¢</w:t>
      </w:r>
      <w:r w:rsidR="00CF3C8D">
        <w:rPr>
          <w:rFonts w:ascii="Arial" w:hAnsi="Arial" w:cs="Arial"/>
          <w:lang w:val="es-CR" w:eastAsia="es-CR"/>
        </w:rPr>
        <w:t>612.14</w:t>
      </w:r>
      <w:r w:rsidR="004F4745">
        <w:rPr>
          <w:rFonts w:ascii="Arial" w:hAnsi="Arial" w:cs="Arial"/>
          <w:lang w:val="es-CR" w:eastAsia="es-CR"/>
        </w:rPr>
        <w:t xml:space="preserve"> y </w:t>
      </w:r>
      <w:r w:rsidR="004313F8">
        <w:rPr>
          <w:rFonts w:ascii="Arial" w:hAnsi="Arial" w:cs="Arial"/>
          <w:lang w:val="es-CR" w:eastAsia="es-CR"/>
        </w:rPr>
        <w:t xml:space="preserve"> </w:t>
      </w:r>
      <w:r w:rsidR="00390383">
        <w:rPr>
          <w:rFonts w:ascii="Arial" w:hAnsi="Arial" w:cs="Arial"/>
          <w:lang w:val="es-CR" w:eastAsia="es-CR"/>
        </w:rPr>
        <w:t>¢</w:t>
      </w:r>
      <w:r w:rsidR="00CF3C8D">
        <w:rPr>
          <w:rFonts w:ascii="Arial" w:hAnsi="Arial" w:cs="Arial"/>
          <w:lang w:val="es-CR" w:eastAsia="es-CR"/>
        </w:rPr>
        <w:t>612.76</w:t>
      </w:r>
      <w:r w:rsidR="004313F8">
        <w:rPr>
          <w:rFonts w:ascii="Arial" w:hAnsi="Arial" w:cs="Arial"/>
          <w:lang w:val="es-CR" w:eastAsia="es-CR"/>
        </w:rPr>
        <w:t xml:space="preserve"> para las operaciones con el Sector Público no Bancario</w:t>
      </w:r>
      <w:r w:rsidR="005B3A84">
        <w:rPr>
          <w:rFonts w:ascii="Arial" w:hAnsi="Arial" w:cs="Arial"/>
          <w:lang w:val="es-CR" w:eastAsia="es-CR"/>
        </w:rPr>
        <w:t>, al 31 de diciembre 201</w:t>
      </w:r>
      <w:r w:rsidR="00CF3C8D">
        <w:rPr>
          <w:rFonts w:ascii="Arial" w:hAnsi="Arial" w:cs="Arial"/>
          <w:lang w:val="es-CR" w:eastAsia="es-CR"/>
        </w:rPr>
        <w:t>8</w:t>
      </w:r>
      <w:r w:rsidR="005B3A84">
        <w:rPr>
          <w:rFonts w:ascii="Arial" w:hAnsi="Arial" w:cs="Arial"/>
          <w:lang w:val="es-CR" w:eastAsia="es-CR"/>
        </w:rPr>
        <w:t xml:space="preserve"> eran de ¢</w:t>
      </w:r>
      <w:r w:rsidR="00CF3C8D">
        <w:rPr>
          <w:rFonts w:ascii="Arial" w:hAnsi="Arial" w:cs="Arial"/>
          <w:lang w:val="es-CR" w:eastAsia="es-CR"/>
        </w:rPr>
        <w:t>609.27</w:t>
      </w:r>
      <w:r w:rsidR="005B3A84">
        <w:rPr>
          <w:rFonts w:ascii="Arial" w:hAnsi="Arial" w:cs="Arial"/>
          <w:lang w:val="es-CR" w:eastAsia="es-CR"/>
        </w:rPr>
        <w:t xml:space="preserve"> y</w:t>
      </w:r>
      <w:r w:rsidR="0016086A">
        <w:rPr>
          <w:rFonts w:ascii="Arial" w:hAnsi="Arial" w:cs="Arial"/>
          <w:lang w:val="es-CR" w:eastAsia="es-CR"/>
        </w:rPr>
        <w:t xml:space="preserve"> ¢</w:t>
      </w:r>
      <w:r w:rsidR="00CF3C8D">
        <w:rPr>
          <w:rFonts w:ascii="Arial" w:hAnsi="Arial" w:cs="Arial"/>
          <w:lang w:val="es-CR" w:eastAsia="es-CR"/>
        </w:rPr>
        <w:t>609.87</w:t>
      </w:r>
      <w:r w:rsidR="005B3A84">
        <w:rPr>
          <w:rFonts w:ascii="Arial" w:hAnsi="Arial" w:cs="Arial"/>
          <w:lang w:val="es-CR" w:eastAsia="es-CR"/>
        </w:rPr>
        <w:t>.</w:t>
      </w:r>
    </w:p>
    <w:p w:rsidR="0007759A" w:rsidRPr="0007759A" w:rsidRDefault="0007759A" w:rsidP="00AB5181">
      <w:pPr>
        <w:spacing w:after="0" w:line="240" w:lineRule="auto"/>
        <w:rPr>
          <w:rFonts w:ascii="Arial" w:hAnsi="Arial" w:cs="Arial"/>
          <w:b/>
          <w:lang w:val="es-CR" w:eastAsia="es-CR"/>
        </w:rPr>
      </w:pPr>
    </w:p>
    <w:p w:rsidR="00936A1F" w:rsidRDefault="00936A1F" w:rsidP="00AB5181">
      <w:pPr>
        <w:spacing w:after="0" w:line="240" w:lineRule="auto"/>
        <w:rPr>
          <w:rFonts w:ascii="Arial" w:hAnsi="Arial" w:cs="Arial"/>
          <w:b/>
          <w:lang w:val="es-CR" w:eastAsia="es-CR"/>
        </w:rPr>
      </w:pPr>
    </w:p>
    <w:p w:rsidR="00936A1F" w:rsidRPr="00936A1F" w:rsidRDefault="00936A1F" w:rsidP="00AB5181">
      <w:pPr>
        <w:spacing w:after="0" w:line="240" w:lineRule="auto"/>
        <w:rPr>
          <w:rFonts w:ascii="Arial" w:hAnsi="Arial" w:cs="Arial"/>
          <w:b/>
          <w:lang w:val="es-CR" w:eastAsia="es-CR"/>
        </w:rPr>
      </w:pPr>
    </w:p>
    <w:p w:rsidR="007A5971" w:rsidRDefault="007A5971" w:rsidP="00AB5181">
      <w:pPr>
        <w:spacing w:after="0" w:line="240" w:lineRule="auto"/>
        <w:rPr>
          <w:rFonts w:ascii="Arial" w:hAnsi="Arial" w:cs="Arial"/>
          <w:lang w:val="es-CR" w:eastAsia="es-CR"/>
        </w:rPr>
      </w:pPr>
    </w:p>
    <w:p w:rsidR="00132507" w:rsidRPr="00E228F7" w:rsidRDefault="00132507" w:rsidP="00132507">
      <w:pPr>
        <w:rPr>
          <w:rFonts w:ascii="Arial" w:hAnsi="Arial" w:cs="Arial"/>
          <w:color w:val="000000"/>
        </w:rPr>
      </w:pPr>
      <w:r w:rsidRPr="00E228F7">
        <w:rPr>
          <w:rFonts w:ascii="Arial" w:hAnsi="Arial" w:cs="Arial"/>
          <w:bCs/>
          <w:color w:val="000000"/>
        </w:rPr>
        <w:lastRenderedPageBreak/>
        <w:t xml:space="preserve">Yo, </w:t>
      </w:r>
      <w:proofErr w:type="spellStart"/>
      <w:r w:rsidR="007A5971">
        <w:rPr>
          <w:rFonts w:ascii="Arial" w:hAnsi="Arial" w:cs="Arial"/>
          <w:bCs/>
          <w:color w:val="000000"/>
        </w:rPr>
        <w:t>Dinia</w:t>
      </w:r>
      <w:proofErr w:type="spellEnd"/>
      <w:r w:rsidR="007A5971">
        <w:rPr>
          <w:rFonts w:ascii="Arial" w:hAnsi="Arial" w:cs="Arial"/>
          <w:bCs/>
          <w:color w:val="000000"/>
        </w:rPr>
        <w:t xml:space="preserve"> Fonseca </w:t>
      </w:r>
      <w:proofErr w:type="spellStart"/>
      <w:r w:rsidR="007A5971">
        <w:rPr>
          <w:rFonts w:ascii="Arial" w:hAnsi="Arial" w:cs="Arial"/>
          <w:bCs/>
          <w:color w:val="000000"/>
        </w:rPr>
        <w:t>Oconor</w:t>
      </w:r>
      <w:proofErr w:type="spellEnd"/>
      <w:r w:rsidR="007A5971">
        <w:rPr>
          <w:rFonts w:ascii="Arial" w:hAnsi="Arial" w:cs="Arial"/>
          <w:bCs/>
          <w:color w:val="000000"/>
        </w:rPr>
        <w:t xml:space="preserve"> </w:t>
      </w:r>
      <w:r w:rsidR="00D37063">
        <w:rPr>
          <w:rFonts w:ascii="Arial" w:hAnsi="Arial" w:cs="Arial"/>
          <w:bCs/>
          <w:color w:val="000000"/>
        </w:rPr>
        <w:t xml:space="preserve"> y </w:t>
      </w:r>
      <w:r w:rsidR="00692B0D">
        <w:rPr>
          <w:rFonts w:ascii="Arial" w:hAnsi="Arial" w:cs="Arial"/>
          <w:bCs/>
          <w:color w:val="000000" w:themeColor="text1"/>
        </w:rPr>
        <w:t>Vera Agüero Valverde</w:t>
      </w:r>
      <w:r w:rsidR="00427DFD">
        <w:rPr>
          <w:rFonts w:ascii="Arial" w:hAnsi="Arial" w:cs="Arial"/>
          <w:bCs/>
          <w:color w:val="000000" w:themeColor="text1"/>
        </w:rPr>
        <w:t xml:space="preserve"> </w:t>
      </w:r>
      <w:r w:rsidRPr="00E228F7">
        <w:rPr>
          <w:rFonts w:ascii="Arial" w:hAnsi="Arial" w:cs="Arial"/>
          <w:bCs/>
          <w:color w:val="000000"/>
        </w:rPr>
        <w:t xml:space="preserve">  en mi condición de encargado</w:t>
      </w:r>
      <w:r w:rsidR="00D37063">
        <w:rPr>
          <w:rFonts w:ascii="Arial" w:hAnsi="Arial" w:cs="Arial"/>
          <w:bCs/>
          <w:color w:val="000000"/>
        </w:rPr>
        <w:t xml:space="preserve">s y custodios </w:t>
      </w:r>
      <w:r w:rsidRPr="00E228F7">
        <w:rPr>
          <w:rFonts w:ascii="Arial" w:hAnsi="Arial" w:cs="Arial"/>
          <w:bCs/>
          <w:color w:val="000000"/>
        </w:rPr>
        <w:t xml:space="preserve"> de la información contable de esta institución </w:t>
      </w:r>
      <w:r w:rsidR="00B77878">
        <w:rPr>
          <w:rFonts w:ascii="Arial" w:hAnsi="Arial" w:cs="Arial"/>
          <w:bCs/>
          <w:color w:val="000000"/>
        </w:rPr>
        <w:t>damos</w:t>
      </w:r>
      <w:r w:rsidRPr="00E228F7">
        <w:rPr>
          <w:rFonts w:ascii="Arial" w:hAnsi="Arial" w:cs="Arial"/>
          <w:bCs/>
          <w:color w:val="000000"/>
        </w:rPr>
        <w:t xml:space="preserve"> fe de que cono</w:t>
      </w:r>
      <w:r w:rsidR="00B77878">
        <w:rPr>
          <w:rFonts w:ascii="Arial" w:hAnsi="Arial" w:cs="Arial"/>
          <w:bCs/>
          <w:color w:val="000000"/>
        </w:rPr>
        <w:t xml:space="preserve">cemos </w:t>
      </w:r>
      <w:r w:rsidRPr="00E228F7">
        <w:rPr>
          <w:rFonts w:ascii="Arial" w:hAnsi="Arial" w:cs="Arial"/>
          <w:bCs/>
          <w:color w:val="000000"/>
        </w:rPr>
        <w:t>todas las directrices aquí enunciadas y que ha</w:t>
      </w:r>
      <w:r w:rsidR="004875CC">
        <w:rPr>
          <w:rFonts w:ascii="Arial" w:hAnsi="Arial" w:cs="Arial"/>
          <w:bCs/>
          <w:color w:val="000000"/>
        </w:rPr>
        <w:t xml:space="preserve">cemos </w:t>
      </w:r>
      <w:r w:rsidRPr="00E228F7">
        <w:rPr>
          <w:rFonts w:ascii="Arial" w:hAnsi="Arial" w:cs="Arial"/>
          <w:bCs/>
          <w:color w:val="000000"/>
        </w:rPr>
        <w:t xml:space="preserve"> mención de las que se cumplen. </w:t>
      </w:r>
    </w:p>
    <w:p w:rsidR="00E228F7" w:rsidRDefault="00E228F7"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7A5971" w:rsidP="003E4C19">
      <w:pPr>
        <w:spacing w:after="0" w:line="240" w:lineRule="auto"/>
        <w:rPr>
          <w:rFonts w:ascii="Arial" w:hAnsi="Arial" w:cs="Arial"/>
          <w:sz w:val="24"/>
          <w:szCs w:val="24"/>
        </w:rPr>
      </w:pPr>
      <w:proofErr w:type="spellStart"/>
      <w:r>
        <w:rPr>
          <w:rFonts w:ascii="Arial" w:hAnsi="Arial" w:cs="Arial"/>
          <w:sz w:val="24"/>
          <w:szCs w:val="24"/>
        </w:rPr>
        <w:t>Dinia</w:t>
      </w:r>
      <w:proofErr w:type="spellEnd"/>
      <w:r>
        <w:rPr>
          <w:rFonts w:ascii="Arial" w:hAnsi="Arial" w:cs="Arial"/>
          <w:sz w:val="24"/>
          <w:szCs w:val="24"/>
        </w:rPr>
        <w:t xml:space="preserve"> Fonseca </w:t>
      </w:r>
      <w:proofErr w:type="spellStart"/>
      <w:r>
        <w:rPr>
          <w:rFonts w:ascii="Arial" w:hAnsi="Arial" w:cs="Arial"/>
          <w:sz w:val="24"/>
          <w:szCs w:val="24"/>
        </w:rPr>
        <w:t>Oconor</w:t>
      </w:r>
      <w:proofErr w:type="spellEnd"/>
      <w:r w:rsidR="00E07C83">
        <w:rPr>
          <w:rFonts w:ascii="Arial" w:hAnsi="Arial" w:cs="Arial"/>
          <w:sz w:val="24"/>
          <w:szCs w:val="24"/>
        </w:rPr>
        <w:tab/>
      </w:r>
      <w:r w:rsidR="00E07C83">
        <w:rPr>
          <w:rFonts w:ascii="Arial" w:hAnsi="Arial" w:cs="Arial"/>
          <w:sz w:val="24"/>
          <w:szCs w:val="24"/>
        </w:rPr>
        <w:tab/>
      </w:r>
      <w:r w:rsidR="00E07C83">
        <w:rPr>
          <w:rFonts w:ascii="Arial" w:hAnsi="Arial" w:cs="Arial"/>
          <w:sz w:val="24"/>
          <w:szCs w:val="24"/>
        </w:rPr>
        <w:tab/>
      </w:r>
      <w:r w:rsidR="00000903">
        <w:rPr>
          <w:rFonts w:ascii="Arial" w:hAnsi="Arial" w:cs="Arial"/>
          <w:sz w:val="24"/>
          <w:szCs w:val="24"/>
        </w:rPr>
        <w:t xml:space="preserve">       </w:t>
      </w:r>
      <w:r w:rsidR="00692B0D">
        <w:rPr>
          <w:rFonts w:ascii="Arial" w:hAnsi="Arial" w:cs="Arial"/>
          <w:sz w:val="24"/>
          <w:szCs w:val="24"/>
        </w:rPr>
        <w:t>Vera Agüero Valverde</w:t>
      </w:r>
      <w:r w:rsidR="00427DFD">
        <w:rPr>
          <w:rFonts w:ascii="Arial" w:hAnsi="Arial" w:cs="Arial"/>
          <w:sz w:val="24"/>
          <w:szCs w:val="24"/>
        </w:rPr>
        <w:t xml:space="preserve"> </w:t>
      </w:r>
    </w:p>
    <w:p w:rsidR="00E07C83" w:rsidRDefault="00E07C83" w:rsidP="003E4C19">
      <w:pPr>
        <w:spacing w:after="0" w:line="240" w:lineRule="auto"/>
        <w:rPr>
          <w:rFonts w:ascii="Arial" w:hAnsi="Arial" w:cs="Arial"/>
          <w:sz w:val="24"/>
          <w:szCs w:val="24"/>
        </w:rPr>
      </w:pPr>
      <w:r>
        <w:rPr>
          <w:rFonts w:ascii="Arial" w:hAnsi="Arial" w:cs="Arial"/>
          <w:sz w:val="24"/>
          <w:szCs w:val="24"/>
        </w:rPr>
        <w:t>Directora</w:t>
      </w:r>
      <w:r w:rsidR="00000903">
        <w:rPr>
          <w:rFonts w:ascii="Arial" w:hAnsi="Arial" w:cs="Arial"/>
          <w:sz w:val="24"/>
          <w:szCs w:val="24"/>
        </w:rPr>
        <w:t xml:space="preserve"> Programa Gestión Financiera</w:t>
      </w:r>
      <w:r w:rsidR="00F3162B">
        <w:rPr>
          <w:rFonts w:ascii="Arial" w:hAnsi="Arial" w:cs="Arial"/>
          <w:sz w:val="24"/>
          <w:szCs w:val="24"/>
        </w:rPr>
        <w:tab/>
        <w:t xml:space="preserve">        Jefe Sección Contabilidad</w:t>
      </w:r>
      <w:r>
        <w:rPr>
          <w:rFonts w:ascii="Arial" w:hAnsi="Arial" w:cs="Arial"/>
          <w:sz w:val="24"/>
          <w:szCs w:val="24"/>
        </w:rPr>
        <w:tab/>
      </w:r>
      <w:r>
        <w:rPr>
          <w:rFonts w:ascii="Arial" w:hAnsi="Arial" w:cs="Arial"/>
          <w:sz w:val="24"/>
          <w:szCs w:val="24"/>
        </w:rPr>
        <w:tab/>
      </w: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FE3994" w:rsidRDefault="00FE3994"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E07C83" w:rsidRDefault="00E07C83" w:rsidP="003E4C19">
      <w:pPr>
        <w:spacing w:after="0" w:line="240" w:lineRule="auto"/>
        <w:rPr>
          <w:rFonts w:ascii="Arial" w:hAnsi="Arial" w:cs="Arial"/>
          <w:sz w:val="24"/>
          <w:szCs w:val="24"/>
        </w:rPr>
      </w:pPr>
    </w:p>
    <w:p w:rsidR="00BB0B8F" w:rsidRDefault="00BB0B8F" w:rsidP="003E4C19">
      <w:pPr>
        <w:spacing w:after="0" w:line="240" w:lineRule="auto"/>
        <w:rPr>
          <w:rFonts w:ascii="Arial" w:hAnsi="Arial" w:cs="Arial"/>
          <w:sz w:val="24"/>
          <w:szCs w:val="24"/>
        </w:rPr>
      </w:pPr>
    </w:p>
    <w:p w:rsidR="00BB0B8F" w:rsidRDefault="00BB0B8F" w:rsidP="003E4C19">
      <w:pPr>
        <w:spacing w:after="0" w:line="240" w:lineRule="auto"/>
        <w:rPr>
          <w:rFonts w:ascii="Arial" w:hAnsi="Arial" w:cs="Arial"/>
          <w:sz w:val="24"/>
          <w:szCs w:val="24"/>
        </w:rPr>
      </w:pPr>
    </w:p>
    <w:p w:rsidR="00046A2F" w:rsidRDefault="00046A2F" w:rsidP="001F752F">
      <w:pPr>
        <w:spacing w:after="0" w:line="240" w:lineRule="auto"/>
        <w:ind w:left="-426"/>
        <w:rPr>
          <w:rFonts w:ascii="Arial" w:hAnsi="Arial" w:cs="Arial"/>
          <w:b/>
          <w:bCs/>
          <w:sz w:val="24"/>
          <w:szCs w:val="24"/>
          <w:u w:val="single"/>
          <w:lang w:eastAsia="es-ES"/>
        </w:rPr>
      </w:pPr>
    </w:p>
    <w:p w:rsidR="00046A2F" w:rsidRDefault="00046A2F" w:rsidP="001F752F">
      <w:pPr>
        <w:spacing w:after="0" w:line="240" w:lineRule="auto"/>
        <w:ind w:left="-426"/>
        <w:rPr>
          <w:rFonts w:ascii="Arial" w:hAnsi="Arial" w:cs="Arial"/>
          <w:b/>
          <w:bCs/>
          <w:sz w:val="24"/>
          <w:szCs w:val="24"/>
          <w:u w:val="single"/>
          <w:lang w:eastAsia="es-ES"/>
        </w:rPr>
      </w:pPr>
    </w:p>
    <w:p w:rsidR="00046A2F" w:rsidRDefault="00046A2F" w:rsidP="001F752F">
      <w:pPr>
        <w:spacing w:after="0" w:line="240" w:lineRule="auto"/>
        <w:ind w:left="-426"/>
        <w:rPr>
          <w:rFonts w:ascii="Arial" w:hAnsi="Arial" w:cs="Arial"/>
          <w:b/>
          <w:bCs/>
          <w:sz w:val="24"/>
          <w:szCs w:val="24"/>
          <w:u w:val="single"/>
          <w:lang w:eastAsia="es-ES"/>
        </w:rPr>
      </w:pPr>
    </w:p>
    <w:p w:rsidR="003B62BE" w:rsidRDefault="003B62BE" w:rsidP="001F752F">
      <w:pPr>
        <w:spacing w:after="0" w:line="240" w:lineRule="auto"/>
        <w:ind w:left="-426"/>
        <w:rPr>
          <w:rFonts w:ascii="Arial" w:hAnsi="Arial" w:cs="Arial"/>
          <w:b/>
          <w:bCs/>
          <w:sz w:val="24"/>
          <w:szCs w:val="24"/>
          <w:u w:val="single"/>
          <w:lang w:eastAsia="es-ES"/>
        </w:rPr>
      </w:pPr>
      <w:r w:rsidRPr="00EE0CA7">
        <w:rPr>
          <w:rFonts w:ascii="Arial" w:hAnsi="Arial" w:cs="Arial"/>
          <w:b/>
          <w:bCs/>
          <w:sz w:val="24"/>
          <w:szCs w:val="24"/>
          <w:u w:val="single"/>
          <w:lang w:eastAsia="es-ES"/>
        </w:rPr>
        <w:lastRenderedPageBreak/>
        <w:t>BALANCE GENERAL</w:t>
      </w:r>
    </w:p>
    <w:p w:rsidR="008E4782" w:rsidRPr="00EE0CA7" w:rsidRDefault="008E4782" w:rsidP="001F752F">
      <w:pPr>
        <w:spacing w:after="0" w:line="240" w:lineRule="auto"/>
        <w:ind w:left="-426"/>
        <w:rPr>
          <w:rFonts w:ascii="Arial" w:hAnsi="Arial" w:cs="Arial"/>
          <w:sz w:val="24"/>
          <w:szCs w:val="24"/>
        </w:rPr>
      </w:pPr>
    </w:p>
    <w:p w:rsidR="003B62BE" w:rsidRPr="00EE0CA7" w:rsidRDefault="003B62BE" w:rsidP="001F752F">
      <w:pPr>
        <w:shd w:val="clear" w:color="auto" w:fill="FFFFFF"/>
        <w:spacing w:before="300" w:after="30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Activo Corriente</w:t>
      </w: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3  Caja y Banco </w:t>
      </w:r>
    </w:p>
    <w:p w:rsidR="003B62BE" w:rsidRDefault="003B62BE" w:rsidP="001F752F">
      <w:pPr>
        <w:spacing w:line="240" w:lineRule="auto"/>
        <w:ind w:left="-426"/>
        <w:rPr>
          <w:rFonts w:ascii="Arial" w:hAnsi="Arial" w:cs="Arial"/>
          <w:color w:val="000000"/>
          <w:sz w:val="24"/>
          <w:szCs w:val="24"/>
          <w:lang w:eastAsia="es-ES"/>
        </w:rPr>
      </w:pPr>
      <w:r w:rsidRPr="00C02FB5">
        <w:rPr>
          <w:rFonts w:ascii="Arial" w:hAnsi="Arial" w:cs="Arial"/>
          <w:color w:val="000000"/>
          <w:sz w:val="24"/>
          <w:szCs w:val="24"/>
          <w:lang w:eastAsia="es-ES"/>
        </w:rPr>
        <w:t>En esta cuenta se i</w:t>
      </w:r>
      <w:r w:rsidR="002F0291" w:rsidRPr="00C02FB5">
        <w:rPr>
          <w:rFonts w:ascii="Arial" w:hAnsi="Arial" w:cs="Arial"/>
          <w:color w:val="000000"/>
          <w:sz w:val="24"/>
          <w:szCs w:val="24"/>
          <w:lang w:eastAsia="es-ES"/>
        </w:rPr>
        <w:t xml:space="preserve">ncluye los saldos que </w:t>
      </w:r>
      <w:r w:rsidR="0002757C">
        <w:rPr>
          <w:rFonts w:ascii="Arial" w:hAnsi="Arial" w:cs="Arial"/>
          <w:color w:val="000000"/>
          <w:sz w:val="24"/>
          <w:szCs w:val="24"/>
          <w:lang w:eastAsia="es-ES"/>
        </w:rPr>
        <w:t xml:space="preserve">mantiene </w:t>
      </w:r>
      <w:r w:rsidR="002F0291" w:rsidRPr="00C02FB5">
        <w:rPr>
          <w:rFonts w:ascii="Arial" w:hAnsi="Arial" w:cs="Arial"/>
          <w:color w:val="000000"/>
          <w:sz w:val="24"/>
          <w:szCs w:val="24"/>
          <w:lang w:eastAsia="es-ES"/>
        </w:rPr>
        <w:t>la institución</w:t>
      </w:r>
      <w:r w:rsidRPr="00C02FB5">
        <w:rPr>
          <w:rFonts w:ascii="Arial" w:hAnsi="Arial" w:cs="Arial"/>
          <w:color w:val="000000"/>
          <w:sz w:val="24"/>
          <w:szCs w:val="24"/>
          <w:lang w:eastAsia="es-ES"/>
        </w:rPr>
        <w:t xml:space="preserve"> en sus cuentas corrientes,</w:t>
      </w:r>
      <w:r w:rsidR="007C53DC" w:rsidRPr="00C02FB5">
        <w:rPr>
          <w:rFonts w:ascii="Arial" w:hAnsi="Arial" w:cs="Arial"/>
          <w:color w:val="000000"/>
          <w:sz w:val="24"/>
          <w:szCs w:val="24"/>
          <w:lang w:eastAsia="es-ES"/>
        </w:rPr>
        <w:t xml:space="preserve"> en el Banco Nacional,</w:t>
      </w:r>
      <w:r w:rsidR="00EC314B">
        <w:rPr>
          <w:rFonts w:ascii="Arial" w:hAnsi="Arial" w:cs="Arial"/>
          <w:color w:val="000000"/>
          <w:sz w:val="24"/>
          <w:szCs w:val="24"/>
          <w:lang w:eastAsia="es-ES"/>
        </w:rPr>
        <w:t xml:space="preserve"> Banco Popular, ,</w:t>
      </w:r>
      <w:r w:rsidR="007C53DC" w:rsidRPr="00C02FB5">
        <w:rPr>
          <w:rFonts w:ascii="Arial" w:hAnsi="Arial" w:cs="Arial"/>
          <w:color w:val="000000"/>
          <w:sz w:val="24"/>
          <w:szCs w:val="24"/>
          <w:lang w:eastAsia="es-ES"/>
        </w:rPr>
        <w:t xml:space="preserve"> Banco de Costa Rica</w:t>
      </w:r>
      <w:r w:rsidR="00EC314B">
        <w:rPr>
          <w:rFonts w:ascii="Arial" w:hAnsi="Arial" w:cs="Arial"/>
          <w:color w:val="000000"/>
          <w:sz w:val="24"/>
          <w:szCs w:val="24"/>
          <w:lang w:eastAsia="es-ES"/>
        </w:rPr>
        <w:t xml:space="preserve"> y Caja Única del Estado</w:t>
      </w:r>
      <w:r w:rsidR="007C53DC" w:rsidRPr="00C02FB5">
        <w:rPr>
          <w:rFonts w:ascii="Arial" w:hAnsi="Arial" w:cs="Arial"/>
          <w:color w:val="000000"/>
          <w:sz w:val="24"/>
          <w:szCs w:val="24"/>
          <w:lang w:eastAsia="es-ES"/>
        </w:rPr>
        <w:t>,</w:t>
      </w:r>
      <w:r w:rsidR="00EC314B">
        <w:rPr>
          <w:rFonts w:ascii="Arial" w:hAnsi="Arial" w:cs="Arial"/>
          <w:color w:val="000000"/>
          <w:sz w:val="24"/>
          <w:szCs w:val="24"/>
          <w:lang w:eastAsia="es-ES"/>
        </w:rPr>
        <w:t xml:space="preserve"> </w:t>
      </w:r>
      <w:r w:rsidR="007C53DC" w:rsidRPr="00C02FB5">
        <w:rPr>
          <w:rFonts w:ascii="Arial" w:hAnsi="Arial" w:cs="Arial"/>
          <w:color w:val="000000"/>
          <w:sz w:val="24"/>
          <w:szCs w:val="24"/>
          <w:lang w:eastAsia="es-ES"/>
        </w:rPr>
        <w:t xml:space="preserve"> así como </w:t>
      </w:r>
      <w:r w:rsidRPr="00C02FB5">
        <w:rPr>
          <w:rFonts w:ascii="Arial" w:hAnsi="Arial" w:cs="Arial"/>
          <w:color w:val="000000"/>
          <w:sz w:val="24"/>
          <w:szCs w:val="24"/>
          <w:lang w:eastAsia="es-ES"/>
        </w:rPr>
        <w:t xml:space="preserve">fondos de caja chica, </w:t>
      </w:r>
      <w:r w:rsidR="007C53DC" w:rsidRPr="00C02FB5">
        <w:rPr>
          <w:rFonts w:ascii="Arial" w:hAnsi="Arial" w:cs="Arial"/>
          <w:color w:val="000000"/>
          <w:sz w:val="24"/>
          <w:szCs w:val="24"/>
          <w:lang w:eastAsia="es-ES"/>
        </w:rPr>
        <w:t xml:space="preserve">y fondos especiales. </w:t>
      </w:r>
    </w:p>
    <w:bookmarkStart w:id="11" w:name="_MON_1514175562"/>
    <w:bookmarkEnd w:id="11"/>
    <w:p w:rsidR="00FD405B" w:rsidRDefault="00CF3C8D" w:rsidP="00005347">
      <w:pPr>
        <w:ind w:left="-426"/>
        <w:rPr>
          <w:rFonts w:ascii="Arial" w:hAnsi="Arial" w:cs="Arial"/>
          <w:sz w:val="24"/>
          <w:szCs w:val="24"/>
          <w:lang w:val="es-ES_tradnl"/>
        </w:rPr>
      </w:pPr>
      <w:r w:rsidRPr="00C02FB5">
        <w:rPr>
          <w:rFonts w:ascii="Arial" w:hAnsi="Arial" w:cs="Arial"/>
          <w:sz w:val="24"/>
          <w:szCs w:val="24"/>
          <w:lang w:val="es-ES_tradnl"/>
        </w:rPr>
        <w:object w:dxaOrig="10187"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51.75pt" o:ole="">
            <v:imagedata r:id="rId6" o:title=""/>
          </v:shape>
          <o:OLEObject Type="Embed" ProgID="Excel.Sheet.8" ShapeID="_x0000_i1025" DrawAspect="Content" ObjectID="_1611577072" r:id="rId7"/>
        </w:object>
      </w:r>
    </w:p>
    <w:tbl>
      <w:tblPr>
        <w:tblW w:w="7220" w:type="dxa"/>
        <w:tblCellMar>
          <w:left w:w="70" w:type="dxa"/>
          <w:right w:w="70" w:type="dxa"/>
        </w:tblCellMar>
        <w:tblLook w:val="04A0" w:firstRow="1" w:lastRow="0" w:firstColumn="1" w:lastColumn="0" w:noHBand="0" w:noVBand="1"/>
      </w:tblPr>
      <w:tblGrid>
        <w:gridCol w:w="3580"/>
        <w:gridCol w:w="1820"/>
        <w:gridCol w:w="1820"/>
      </w:tblGrid>
      <w:tr w:rsidR="00FD405B" w:rsidRPr="00FD405B" w:rsidTr="00FD405B">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D405B" w:rsidRPr="00FD405B" w:rsidRDefault="00FD405B" w:rsidP="00FD405B">
            <w:pPr>
              <w:spacing w:after="0" w:line="240" w:lineRule="auto"/>
              <w:jc w:val="center"/>
              <w:rPr>
                <w:color w:val="000000"/>
                <w:lang w:eastAsia="es-ES"/>
              </w:rPr>
            </w:pPr>
            <w:r w:rsidRPr="00FD405B">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D405B" w:rsidRPr="00FD405B" w:rsidRDefault="00FD405B" w:rsidP="00FD405B">
            <w:pPr>
              <w:spacing w:after="0" w:line="240" w:lineRule="auto"/>
              <w:jc w:val="center"/>
              <w:rPr>
                <w:color w:val="000000"/>
                <w:lang w:eastAsia="es-ES"/>
              </w:rPr>
            </w:pPr>
            <w:r w:rsidRPr="00FD405B">
              <w:rPr>
                <w:color w:val="000000"/>
                <w:lang w:eastAsia="es-ES"/>
              </w:rPr>
              <w:t>Diciembre 2018</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b/>
                <w:bCs/>
                <w:color w:val="000000"/>
                <w:lang w:eastAsia="es-ES"/>
              </w:rPr>
            </w:pPr>
            <w:r w:rsidRPr="00FD405B">
              <w:rPr>
                <w:b/>
                <w:bCs/>
                <w:color w:val="000000"/>
                <w:lang w:eastAsia="es-ES"/>
              </w:rPr>
              <w:t>Efectivo en caja</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b/>
                <w:bCs/>
                <w:color w:val="000000"/>
                <w:lang w:eastAsia="es-ES"/>
              </w:rPr>
            </w:pPr>
            <w:r w:rsidRPr="00FD405B">
              <w:rPr>
                <w:b/>
                <w:bCs/>
                <w:color w:val="000000"/>
                <w:lang w:eastAsia="es-ES"/>
              </w:rPr>
              <w:t>192.103,90</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b/>
                <w:bCs/>
                <w:color w:val="000000"/>
                <w:lang w:eastAsia="es-ES"/>
              </w:rPr>
            </w:pPr>
            <w:r w:rsidRPr="00FD405B">
              <w:rPr>
                <w:b/>
                <w:bCs/>
                <w:color w:val="000000"/>
                <w:lang w:eastAsia="es-ES"/>
              </w:rPr>
              <w:t>67.315,01</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right"/>
              <w:rPr>
                <w:b/>
                <w:bCs/>
                <w:color w:val="000000"/>
                <w:lang w:eastAsia="es-ES"/>
              </w:rPr>
            </w:pP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rFonts w:ascii="Times New Roman" w:hAnsi="Times New Roman"/>
                <w:sz w:val="20"/>
                <w:szCs w:val="20"/>
                <w:lang w:eastAsia="es-ES"/>
              </w:rPr>
            </w:pP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rFonts w:ascii="Times New Roman" w:hAnsi="Times New Roman"/>
                <w:sz w:val="20"/>
                <w:szCs w:val="20"/>
                <w:lang w:eastAsia="es-ES"/>
              </w:rPr>
            </w:pP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b/>
                <w:bCs/>
                <w:color w:val="000000"/>
                <w:lang w:eastAsia="es-ES"/>
              </w:rPr>
            </w:pPr>
            <w:r w:rsidRPr="00FD405B">
              <w:rPr>
                <w:b/>
                <w:bCs/>
                <w:color w:val="000000"/>
                <w:lang w:eastAsia="es-ES"/>
              </w:rPr>
              <w:t>Efectivo en Bancos</w:t>
            </w: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b/>
                <w:bCs/>
                <w:color w:val="000000"/>
                <w:lang w:eastAsia="es-ES"/>
              </w:rPr>
            </w:pP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rFonts w:ascii="Times New Roman" w:hAnsi="Times New Roman"/>
                <w:sz w:val="20"/>
                <w:szCs w:val="20"/>
                <w:lang w:eastAsia="es-ES"/>
              </w:rPr>
            </w:pP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Banco Nacional de Costa Rica colones</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1.486.594,14</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1.157.492,12</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Banco Nacional de Costa Rica dólares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80.462,41</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79.416,82</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Banco Nacional de Costa Rica euros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8.078,94</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8.006,71</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Banco de Costa Rica colones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195.539,38</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84.056,95</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Banco Popular colones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147.235,60</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40.076,12</w:t>
            </w:r>
          </w:p>
        </w:tc>
      </w:tr>
      <w:tr w:rsidR="00FD405B" w:rsidRPr="00FD405B" w:rsidTr="00FD405B">
        <w:trPr>
          <w:trHeight w:val="600"/>
        </w:trPr>
        <w:tc>
          <w:tcPr>
            <w:tcW w:w="3580" w:type="dxa"/>
            <w:tcBorders>
              <w:top w:val="nil"/>
              <w:left w:val="nil"/>
              <w:bottom w:val="nil"/>
              <w:right w:val="nil"/>
            </w:tcBorders>
            <w:shd w:val="clear" w:color="auto" w:fill="auto"/>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 xml:space="preserve">Caja Única colones "Proyecto </w:t>
            </w:r>
            <w:proofErr w:type="spellStart"/>
            <w:r w:rsidRPr="00FD405B">
              <w:rPr>
                <w:color w:val="000000"/>
                <w:lang w:eastAsia="es-ES"/>
              </w:rPr>
              <w:t>Mejoram</w:t>
            </w:r>
            <w:proofErr w:type="spellEnd"/>
            <w:r w:rsidRPr="00FD405B">
              <w:rPr>
                <w:color w:val="000000"/>
                <w:lang w:eastAsia="es-ES"/>
              </w:rPr>
              <w:t xml:space="preserve">. </w:t>
            </w:r>
            <w:proofErr w:type="spellStart"/>
            <w:r w:rsidRPr="00FD405B">
              <w:rPr>
                <w:color w:val="000000"/>
                <w:lang w:eastAsia="es-ES"/>
              </w:rPr>
              <w:t>Educ</w:t>
            </w:r>
            <w:proofErr w:type="spellEnd"/>
            <w:r w:rsidRPr="00FD405B">
              <w:rPr>
                <w:color w:val="000000"/>
                <w:lang w:eastAsia="es-ES"/>
              </w:rPr>
              <w:t>. Superior"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0,00</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0,00</w:t>
            </w:r>
          </w:p>
        </w:tc>
      </w:tr>
      <w:tr w:rsidR="00FD405B" w:rsidRPr="00FD405B" w:rsidTr="00FD405B">
        <w:trPr>
          <w:trHeight w:val="600"/>
        </w:trPr>
        <w:tc>
          <w:tcPr>
            <w:tcW w:w="3580" w:type="dxa"/>
            <w:tcBorders>
              <w:top w:val="nil"/>
              <w:left w:val="nil"/>
              <w:bottom w:val="nil"/>
              <w:right w:val="nil"/>
            </w:tcBorders>
            <w:shd w:val="clear" w:color="auto" w:fill="auto"/>
            <w:vAlign w:val="bottom"/>
            <w:hideMark/>
          </w:tcPr>
          <w:p w:rsidR="00FD405B" w:rsidRPr="00FD405B" w:rsidRDefault="00FD405B" w:rsidP="00FD405B">
            <w:pPr>
              <w:spacing w:after="0" w:line="240" w:lineRule="auto"/>
              <w:jc w:val="left"/>
              <w:rPr>
                <w:color w:val="000000"/>
                <w:lang w:eastAsia="es-ES"/>
              </w:rPr>
            </w:pPr>
            <w:r w:rsidRPr="00FD405B">
              <w:rPr>
                <w:color w:val="000000"/>
                <w:lang w:eastAsia="es-ES"/>
              </w:rPr>
              <w:t xml:space="preserve">Caja Única </w:t>
            </w:r>
            <w:proofErr w:type="spellStart"/>
            <w:r w:rsidRPr="00FD405B">
              <w:rPr>
                <w:color w:val="000000"/>
                <w:lang w:eastAsia="es-ES"/>
              </w:rPr>
              <w:t>Dolares</w:t>
            </w:r>
            <w:proofErr w:type="spellEnd"/>
            <w:r w:rsidRPr="00FD405B">
              <w:rPr>
                <w:color w:val="000000"/>
                <w:lang w:eastAsia="es-ES"/>
              </w:rPr>
              <w:t xml:space="preserve"> "Proyecto </w:t>
            </w:r>
            <w:proofErr w:type="spellStart"/>
            <w:r w:rsidRPr="00FD405B">
              <w:rPr>
                <w:color w:val="000000"/>
                <w:lang w:eastAsia="es-ES"/>
              </w:rPr>
              <w:t>Mejoram</w:t>
            </w:r>
            <w:proofErr w:type="spellEnd"/>
            <w:r w:rsidRPr="00FD405B">
              <w:rPr>
                <w:color w:val="000000"/>
                <w:lang w:eastAsia="es-ES"/>
              </w:rPr>
              <w:t xml:space="preserve">. </w:t>
            </w:r>
            <w:proofErr w:type="spellStart"/>
            <w:r w:rsidRPr="00FD405B">
              <w:rPr>
                <w:color w:val="000000"/>
                <w:lang w:eastAsia="es-ES"/>
              </w:rPr>
              <w:t>Educ</w:t>
            </w:r>
            <w:proofErr w:type="spellEnd"/>
            <w:r w:rsidRPr="00FD405B">
              <w:rPr>
                <w:color w:val="000000"/>
                <w:lang w:eastAsia="es-ES"/>
              </w:rPr>
              <w:t>. Superior"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3.369.272,73</w:t>
            </w:r>
          </w:p>
        </w:tc>
        <w:tc>
          <w:tcPr>
            <w:tcW w:w="1820" w:type="dxa"/>
            <w:tcBorders>
              <w:top w:val="nil"/>
              <w:left w:val="nil"/>
              <w:bottom w:val="single" w:sz="4" w:space="0" w:color="auto"/>
              <w:right w:val="single" w:sz="4" w:space="0" w:color="auto"/>
            </w:tcBorders>
            <w:shd w:val="clear" w:color="auto" w:fill="auto"/>
            <w:noWrap/>
            <w:vAlign w:val="bottom"/>
            <w:hideMark/>
          </w:tcPr>
          <w:p w:rsidR="00FD405B" w:rsidRPr="00FD405B" w:rsidRDefault="00FD405B" w:rsidP="00FD405B">
            <w:pPr>
              <w:spacing w:after="0" w:line="240" w:lineRule="auto"/>
              <w:jc w:val="right"/>
              <w:rPr>
                <w:color w:val="000000"/>
                <w:lang w:eastAsia="es-ES"/>
              </w:rPr>
            </w:pPr>
            <w:r w:rsidRPr="00FD405B">
              <w:rPr>
                <w:color w:val="000000"/>
                <w:lang w:eastAsia="es-ES"/>
              </w:rPr>
              <w:t>1.573.672,54</w:t>
            </w:r>
          </w:p>
        </w:tc>
      </w:tr>
      <w:tr w:rsidR="00FD405B" w:rsidRPr="00FD405B" w:rsidTr="00FD405B">
        <w:trPr>
          <w:trHeight w:val="300"/>
        </w:trPr>
        <w:tc>
          <w:tcPr>
            <w:tcW w:w="358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left"/>
              <w:rPr>
                <w:b/>
                <w:bCs/>
                <w:color w:val="000000"/>
                <w:lang w:eastAsia="es-ES"/>
              </w:rPr>
            </w:pPr>
            <w:r w:rsidRPr="00FD405B">
              <w:rPr>
                <w:b/>
                <w:bCs/>
                <w:color w:val="000000"/>
                <w:lang w:eastAsia="es-ES"/>
              </w:rPr>
              <w:t>Total efectivo en Bancos</w:t>
            </w: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right"/>
              <w:rPr>
                <w:b/>
                <w:bCs/>
                <w:color w:val="000000"/>
                <w:lang w:eastAsia="es-ES"/>
              </w:rPr>
            </w:pPr>
            <w:r w:rsidRPr="00FD405B">
              <w:rPr>
                <w:b/>
                <w:bCs/>
                <w:color w:val="000000"/>
                <w:lang w:eastAsia="es-ES"/>
              </w:rPr>
              <w:t>5.287.183,20</w:t>
            </w:r>
          </w:p>
        </w:tc>
        <w:tc>
          <w:tcPr>
            <w:tcW w:w="1820" w:type="dxa"/>
            <w:tcBorders>
              <w:top w:val="nil"/>
              <w:left w:val="nil"/>
              <w:bottom w:val="nil"/>
              <w:right w:val="nil"/>
            </w:tcBorders>
            <w:shd w:val="clear" w:color="auto" w:fill="auto"/>
            <w:noWrap/>
            <w:vAlign w:val="bottom"/>
            <w:hideMark/>
          </w:tcPr>
          <w:p w:rsidR="00FD405B" w:rsidRPr="00FD405B" w:rsidRDefault="00FD405B" w:rsidP="00FD405B">
            <w:pPr>
              <w:spacing w:after="0" w:line="240" w:lineRule="auto"/>
              <w:jc w:val="right"/>
              <w:rPr>
                <w:b/>
                <w:bCs/>
                <w:color w:val="000000"/>
                <w:lang w:eastAsia="es-ES"/>
              </w:rPr>
            </w:pPr>
            <w:r w:rsidRPr="00FD405B">
              <w:rPr>
                <w:b/>
                <w:bCs/>
                <w:color w:val="000000"/>
                <w:lang w:eastAsia="es-ES"/>
              </w:rPr>
              <w:t>2.942.721,25</w:t>
            </w:r>
          </w:p>
        </w:tc>
      </w:tr>
    </w:tbl>
    <w:p w:rsidR="00352DCC" w:rsidRDefault="00352DCC" w:rsidP="00005347">
      <w:pPr>
        <w:ind w:left="-426"/>
        <w:rPr>
          <w:rFonts w:ascii="Arial" w:hAnsi="Arial" w:cs="Arial"/>
          <w:sz w:val="24"/>
          <w:szCs w:val="24"/>
          <w:lang w:val="es-ES_tradnl"/>
        </w:rPr>
      </w:pPr>
    </w:p>
    <w:p w:rsidR="003B62BE" w:rsidRPr="00C02FB5" w:rsidRDefault="00ED233B" w:rsidP="001F752F">
      <w:pPr>
        <w:pStyle w:val="Sinespaciado"/>
        <w:spacing w:line="360" w:lineRule="auto"/>
        <w:ind w:left="-426"/>
        <w:jc w:val="both"/>
        <w:rPr>
          <w:rFonts w:ascii="Arial" w:hAnsi="Arial" w:cs="Arial"/>
          <w:sz w:val="24"/>
          <w:szCs w:val="24"/>
          <w:lang w:val="es-ES"/>
        </w:rPr>
      </w:pPr>
      <w:r>
        <w:rPr>
          <w:rFonts w:ascii="Arial" w:hAnsi="Arial" w:cs="Arial"/>
          <w:sz w:val="24"/>
          <w:szCs w:val="24"/>
          <w:lang w:val="es-ES"/>
        </w:rPr>
        <w:t xml:space="preserve">              </w:t>
      </w: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4  Cuentas por </w:t>
      </w:r>
      <w:r w:rsidR="000840E0">
        <w:rPr>
          <w:rFonts w:ascii="Arial" w:hAnsi="Arial" w:cs="Arial"/>
          <w:b/>
          <w:bCs/>
          <w:sz w:val="24"/>
          <w:szCs w:val="24"/>
          <w:lang w:eastAsia="es-ES"/>
        </w:rPr>
        <w:t>c</w:t>
      </w:r>
      <w:r w:rsidRPr="00EE0CA7">
        <w:rPr>
          <w:rFonts w:ascii="Arial" w:hAnsi="Arial" w:cs="Arial"/>
          <w:b/>
          <w:bCs/>
          <w:sz w:val="24"/>
          <w:szCs w:val="24"/>
          <w:lang w:eastAsia="es-ES"/>
        </w:rPr>
        <w:t>obrar corto plazo</w:t>
      </w:r>
    </w:p>
    <w:bookmarkStart w:id="12" w:name="_MON_1419856790"/>
    <w:bookmarkEnd w:id="12"/>
    <w:p w:rsidR="003B62BE" w:rsidRDefault="0066684E" w:rsidP="001F752F">
      <w:pPr>
        <w:ind w:left="-426"/>
        <w:jc w:val="left"/>
        <w:rPr>
          <w:rFonts w:ascii="Arial" w:hAnsi="Arial" w:cs="Arial"/>
          <w:sz w:val="24"/>
          <w:szCs w:val="24"/>
          <w:lang w:val="es-ES_tradnl"/>
        </w:rPr>
      </w:pPr>
      <w:r w:rsidRPr="00C02FB5">
        <w:rPr>
          <w:rFonts w:ascii="Arial" w:hAnsi="Arial" w:cs="Arial"/>
          <w:sz w:val="24"/>
          <w:szCs w:val="24"/>
          <w:lang w:val="es-ES_tradnl"/>
        </w:rPr>
        <w:object w:dxaOrig="10187" w:dyaOrig="1050">
          <v:shape id="_x0000_i1026" type="#_x0000_t75" style="width:510.75pt;height:51.75pt" o:ole="">
            <v:imagedata r:id="rId8" o:title=""/>
          </v:shape>
          <o:OLEObject Type="Embed" ProgID="Excel.Sheet.8" ShapeID="_x0000_i1026" DrawAspect="Content" ObjectID="_1611577073" r:id="rId9"/>
        </w:object>
      </w:r>
      <w:r w:rsidR="00194A7A" w:rsidRPr="00C02FB5">
        <w:rPr>
          <w:rFonts w:ascii="Arial" w:hAnsi="Arial" w:cs="Arial"/>
          <w:sz w:val="24"/>
          <w:szCs w:val="24"/>
          <w:lang w:val="es-ES_tradnl"/>
        </w:rPr>
        <w:t>Los principales rubros que conforman las cuentas por cobrar son las siguientes:</w:t>
      </w:r>
    </w:p>
    <w:tbl>
      <w:tblPr>
        <w:tblW w:w="7220" w:type="dxa"/>
        <w:tblCellMar>
          <w:left w:w="70" w:type="dxa"/>
          <w:right w:w="70" w:type="dxa"/>
        </w:tblCellMar>
        <w:tblLook w:val="04A0" w:firstRow="1" w:lastRow="0" w:firstColumn="1" w:lastColumn="0" w:noHBand="0" w:noVBand="1"/>
      </w:tblPr>
      <w:tblGrid>
        <w:gridCol w:w="3580"/>
        <w:gridCol w:w="1820"/>
        <w:gridCol w:w="1820"/>
      </w:tblGrid>
      <w:tr w:rsidR="00111BA7" w:rsidRPr="00111BA7" w:rsidTr="00111BA7">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center"/>
              <w:rPr>
                <w:color w:val="000000"/>
                <w:lang w:eastAsia="es-ES"/>
              </w:rPr>
            </w:pPr>
            <w:r w:rsidRPr="00111BA7">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center"/>
              <w:rPr>
                <w:color w:val="000000"/>
                <w:lang w:eastAsia="es-ES"/>
              </w:rPr>
            </w:pPr>
            <w:r w:rsidRPr="00111BA7">
              <w:rPr>
                <w:color w:val="000000"/>
                <w:lang w:eastAsia="es-ES"/>
              </w:rPr>
              <w:t>Diciembre 2018</w:t>
            </w:r>
          </w:p>
        </w:tc>
      </w:tr>
      <w:tr w:rsidR="00111BA7" w:rsidRPr="00111BA7" w:rsidTr="00111BA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Cuentas por Cobrar Estudiantes</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810.906,18</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949.195,69</w:t>
            </w:r>
          </w:p>
        </w:tc>
      </w:tr>
      <w:tr w:rsidR="00111BA7" w:rsidRPr="00111BA7" w:rsidTr="00111BA7">
        <w:trPr>
          <w:trHeight w:val="615"/>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111BA7" w:rsidRPr="00111BA7" w:rsidRDefault="00111BA7" w:rsidP="00111BA7">
            <w:pPr>
              <w:spacing w:after="0" w:line="240" w:lineRule="auto"/>
              <w:jc w:val="left"/>
              <w:rPr>
                <w:rFonts w:ascii="Arial" w:hAnsi="Arial" w:cs="Arial"/>
                <w:color w:val="000000"/>
                <w:sz w:val="24"/>
                <w:szCs w:val="24"/>
                <w:lang w:eastAsia="es-ES"/>
              </w:rPr>
            </w:pPr>
            <w:r w:rsidRPr="00111BA7">
              <w:rPr>
                <w:rFonts w:ascii="Arial" w:hAnsi="Arial" w:cs="Arial"/>
                <w:color w:val="000000"/>
                <w:sz w:val="24"/>
                <w:szCs w:val="24"/>
                <w:lang w:eastAsia="es-ES"/>
              </w:rPr>
              <w:t>Productos acumulados s/inversiones</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526.967,88</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891.116,60</w:t>
            </w:r>
          </w:p>
        </w:tc>
      </w:tr>
    </w:tbl>
    <w:p w:rsidR="00813F9A" w:rsidRDefault="00813F9A" w:rsidP="001F752F">
      <w:pPr>
        <w:spacing w:line="240" w:lineRule="auto"/>
        <w:ind w:left="-426"/>
        <w:rPr>
          <w:rFonts w:ascii="Arial" w:hAnsi="Arial" w:cs="Arial"/>
          <w:sz w:val="24"/>
          <w:szCs w:val="24"/>
          <w:lang w:val="es-ES_tradnl"/>
        </w:rPr>
      </w:pPr>
    </w:p>
    <w:p w:rsidR="001922D5" w:rsidRDefault="001922D5" w:rsidP="001F752F">
      <w:pPr>
        <w:spacing w:line="240" w:lineRule="auto"/>
        <w:ind w:left="-426"/>
        <w:rPr>
          <w:rFonts w:ascii="Arial" w:hAnsi="Arial" w:cs="Arial"/>
          <w:sz w:val="24"/>
          <w:szCs w:val="24"/>
          <w:lang w:val="es-ES_tradnl"/>
        </w:rPr>
      </w:pPr>
      <w:r w:rsidRPr="00C02FB5">
        <w:rPr>
          <w:rFonts w:ascii="Arial" w:hAnsi="Arial" w:cs="Arial"/>
          <w:sz w:val="24"/>
          <w:szCs w:val="24"/>
          <w:lang w:val="es-ES_tradnl"/>
        </w:rPr>
        <w:lastRenderedPageBreak/>
        <w:t>-Cuentas por cobrar es</w:t>
      </w:r>
      <w:r>
        <w:rPr>
          <w:rFonts w:ascii="Arial" w:hAnsi="Arial" w:cs="Arial"/>
          <w:sz w:val="24"/>
          <w:szCs w:val="24"/>
          <w:lang w:val="es-ES_tradnl"/>
        </w:rPr>
        <w:t xml:space="preserve">tudiantes, </w:t>
      </w:r>
      <w:r w:rsidRPr="00C02FB5">
        <w:rPr>
          <w:rFonts w:ascii="Arial" w:hAnsi="Arial" w:cs="Arial"/>
          <w:sz w:val="24"/>
          <w:szCs w:val="24"/>
          <w:lang w:val="es-ES_tradnl"/>
        </w:rPr>
        <w:t xml:space="preserve"> está compue</w:t>
      </w:r>
      <w:r>
        <w:rPr>
          <w:rFonts w:ascii="Arial" w:hAnsi="Arial" w:cs="Arial"/>
          <w:sz w:val="24"/>
          <w:szCs w:val="24"/>
          <w:lang w:val="es-ES_tradnl"/>
        </w:rPr>
        <w:t>sto de la matrícula</w:t>
      </w:r>
      <w:r w:rsidRPr="00C02FB5">
        <w:rPr>
          <w:rFonts w:ascii="Arial" w:hAnsi="Arial" w:cs="Arial"/>
          <w:sz w:val="24"/>
          <w:szCs w:val="24"/>
          <w:lang w:val="es-ES_tradnl"/>
        </w:rPr>
        <w:t>, laboratorios y otros rubros propios de los estudiantes</w:t>
      </w:r>
      <w:r>
        <w:rPr>
          <w:rFonts w:ascii="Arial" w:hAnsi="Arial" w:cs="Arial"/>
          <w:sz w:val="24"/>
          <w:szCs w:val="24"/>
          <w:lang w:val="es-ES_tradnl"/>
        </w:rPr>
        <w:t>.</w:t>
      </w:r>
    </w:p>
    <w:p w:rsidR="00112AB8" w:rsidRDefault="000D29F8" w:rsidP="00EE4AD9">
      <w:pPr>
        <w:shd w:val="clear" w:color="auto" w:fill="FFFFFF"/>
        <w:spacing w:after="0" w:line="240" w:lineRule="auto"/>
        <w:ind w:left="-426"/>
        <w:jc w:val="left"/>
        <w:outlineLvl w:val="2"/>
        <w:rPr>
          <w:rFonts w:ascii="Arial" w:hAnsi="Arial" w:cs="Arial"/>
          <w:bCs/>
          <w:sz w:val="24"/>
          <w:szCs w:val="24"/>
          <w:lang w:eastAsia="es-ES"/>
        </w:rPr>
      </w:pPr>
      <w:r>
        <w:rPr>
          <w:rFonts w:ascii="Arial" w:hAnsi="Arial" w:cs="Arial"/>
          <w:bCs/>
          <w:sz w:val="24"/>
          <w:szCs w:val="24"/>
          <w:lang w:eastAsia="es-ES"/>
        </w:rPr>
        <w:t xml:space="preserve">La partida de productos acumulados sobre inversiones, corresponde a los </w:t>
      </w:r>
      <w:r w:rsidR="003B0835">
        <w:rPr>
          <w:rFonts w:ascii="Arial" w:hAnsi="Arial" w:cs="Arial"/>
          <w:bCs/>
          <w:sz w:val="24"/>
          <w:szCs w:val="24"/>
          <w:lang w:eastAsia="es-ES"/>
        </w:rPr>
        <w:t>intereses acumulados por cobrar.</w:t>
      </w:r>
      <w:r w:rsidR="005C177B">
        <w:rPr>
          <w:rFonts w:ascii="Arial" w:hAnsi="Arial" w:cs="Arial"/>
          <w:bCs/>
          <w:sz w:val="24"/>
          <w:szCs w:val="24"/>
          <w:lang w:eastAsia="es-ES"/>
        </w:rPr>
        <w:t xml:space="preserve"> </w:t>
      </w:r>
    </w:p>
    <w:p w:rsidR="003B0835" w:rsidRDefault="003B0835" w:rsidP="001F752F">
      <w:pPr>
        <w:shd w:val="clear" w:color="auto" w:fill="FFFFFF"/>
        <w:spacing w:after="0"/>
        <w:ind w:left="-426"/>
        <w:jc w:val="left"/>
        <w:outlineLvl w:val="2"/>
        <w:rPr>
          <w:rFonts w:ascii="Arial" w:hAnsi="Arial" w:cs="Arial"/>
          <w:b/>
          <w:bCs/>
          <w:sz w:val="24"/>
          <w:szCs w:val="24"/>
          <w:lang w:eastAsia="es-ES"/>
        </w:rPr>
      </w:pP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w:t>
      </w:r>
      <w:r w:rsidR="00112AB8">
        <w:rPr>
          <w:rFonts w:ascii="Arial" w:hAnsi="Arial" w:cs="Arial"/>
          <w:b/>
          <w:bCs/>
          <w:sz w:val="24"/>
          <w:szCs w:val="24"/>
          <w:lang w:eastAsia="es-ES"/>
        </w:rPr>
        <w:t>5</w:t>
      </w:r>
      <w:r w:rsidRPr="00EE0CA7">
        <w:rPr>
          <w:rFonts w:ascii="Arial" w:hAnsi="Arial" w:cs="Arial"/>
          <w:b/>
          <w:bCs/>
          <w:sz w:val="24"/>
          <w:szCs w:val="24"/>
          <w:lang w:eastAsia="es-ES"/>
        </w:rPr>
        <w:t xml:space="preserve">  Existencias (Inventarios)</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Son los bienes que se mantienen en el Almacén Institucional para ser consumidos en la operación  normal  de sus actividades.</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Las existencias en bodega son valuadas al costo promedio.</w:t>
      </w:r>
    </w:p>
    <w:p w:rsidR="002D3E6D" w:rsidRPr="00C02FB5" w:rsidRDefault="002D3E6D"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Como política se realiza</w:t>
      </w:r>
      <w:r w:rsidR="003013ED">
        <w:rPr>
          <w:rFonts w:ascii="Arial" w:hAnsi="Arial" w:cs="Arial"/>
          <w:bCs/>
          <w:color w:val="000000"/>
          <w:sz w:val="24"/>
          <w:szCs w:val="24"/>
          <w:lang w:eastAsia="es-ES"/>
        </w:rPr>
        <w:t>n</w:t>
      </w:r>
      <w:r w:rsidR="00FB2E0D">
        <w:rPr>
          <w:rFonts w:ascii="Arial" w:hAnsi="Arial" w:cs="Arial"/>
          <w:bCs/>
          <w:color w:val="000000"/>
          <w:sz w:val="24"/>
          <w:szCs w:val="24"/>
          <w:lang w:eastAsia="es-ES"/>
        </w:rPr>
        <w:t xml:space="preserve"> dos inventarios </w:t>
      </w:r>
      <w:r w:rsidRPr="00C02FB5">
        <w:rPr>
          <w:rFonts w:ascii="Arial" w:hAnsi="Arial" w:cs="Arial"/>
          <w:bCs/>
          <w:color w:val="000000"/>
          <w:sz w:val="24"/>
          <w:szCs w:val="24"/>
          <w:lang w:eastAsia="es-ES"/>
        </w:rPr>
        <w:t xml:space="preserve"> anuales y se efectúan  los ajustes correspondientes.</w:t>
      </w:r>
    </w:p>
    <w:p w:rsidR="004C5EE6" w:rsidRPr="00C02FB5" w:rsidRDefault="004C5EE6" w:rsidP="001F752F">
      <w:pPr>
        <w:shd w:val="clear" w:color="auto" w:fill="FFFFFF"/>
        <w:spacing w:after="0"/>
        <w:ind w:left="-426"/>
        <w:jc w:val="left"/>
        <w:outlineLvl w:val="2"/>
        <w:rPr>
          <w:rFonts w:ascii="Arial" w:hAnsi="Arial" w:cs="Arial"/>
          <w:b/>
          <w:bCs/>
          <w:color w:val="0070C0"/>
          <w:sz w:val="24"/>
          <w:szCs w:val="24"/>
          <w:lang w:eastAsia="es-ES"/>
        </w:rPr>
      </w:pPr>
    </w:p>
    <w:bookmarkStart w:id="13" w:name="_MON_1419859482"/>
    <w:bookmarkEnd w:id="13"/>
    <w:p w:rsidR="00A2360D" w:rsidRDefault="0066684E" w:rsidP="001F752F">
      <w:pPr>
        <w:ind w:left="-426"/>
        <w:rPr>
          <w:rFonts w:ascii="Arial" w:hAnsi="Arial" w:cs="Arial"/>
          <w:sz w:val="24"/>
          <w:szCs w:val="24"/>
        </w:rPr>
      </w:pPr>
      <w:r w:rsidRPr="00C02FB5">
        <w:rPr>
          <w:rFonts w:ascii="Arial" w:hAnsi="Arial" w:cs="Arial"/>
          <w:sz w:val="24"/>
          <w:szCs w:val="24"/>
        </w:rPr>
        <w:object w:dxaOrig="10187" w:dyaOrig="1036">
          <v:shape id="_x0000_i1027" type="#_x0000_t75" style="width:510pt;height:51pt" o:ole="">
            <v:imagedata r:id="rId10" o:title=""/>
          </v:shape>
          <o:OLEObject Type="Embed" ProgID="Excel.Sheet.8" ShapeID="_x0000_i1027" DrawAspect="Content" ObjectID="_1611577074" r:id="rId11"/>
        </w:object>
      </w:r>
    </w:p>
    <w:p w:rsidR="003B62BE" w:rsidRPr="00EE0CA7" w:rsidRDefault="00D30462" w:rsidP="001F752F">
      <w:pPr>
        <w:ind w:left="-426"/>
        <w:rPr>
          <w:rFonts w:ascii="Arial" w:hAnsi="Arial" w:cs="Arial"/>
          <w:b/>
          <w:bCs/>
          <w:sz w:val="24"/>
          <w:szCs w:val="24"/>
          <w:lang w:eastAsia="es-ES"/>
        </w:rPr>
      </w:pPr>
      <w:r w:rsidRPr="00EE0CA7">
        <w:rPr>
          <w:rFonts w:ascii="Arial" w:hAnsi="Arial" w:cs="Arial"/>
          <w:b/>
          <w:bCs/>
          <w:sz w:val="24"/>
          <w:szCs w:val="24"/>
          <w:lang w:eastAsia="es-ES"/>
        </w:rPr>
        <w:t xml:space="preserve"> </w:t>
      </w:r>
      <w:r w:rsidR="003B62BE" w:rsidRPr="00EE0CA7">
        <w:rPr>
          <w:rFonts w:ascii="Arial" w:hAnsi="Arial" w:cs="Arial"/>
          <w:b/>
          <w:bCs/>
          <w:sz w:val="24"/>
          <w:szCs w:val="24"/>
          <w:lang w:eastAsia="es-ES"/>
        </w:rPr>
        <w:t xml:space="preserve">NOTA No. </w:t>
      </w:r>
      <w:r w:rsidR="00576D42">
        <w:rPr>
          <w:rFonts w:ascii="Arial" w:hAnsi="Arial" w:cs="Arial"/>
          <w:b/>
          <w:bCs/>
          <w:sz w:val="24"/>
          <w:szCs w:val="24"/>
          <w:lang w:eastAsia="es-ES"/>
        </w:rPr>
        <w:t>6</w:t>
      </w:r>
      <w:r w:rsidR="003B62BE" w:rsidRPr="00EE0CA7">
        <w:rPr>
          <w:rFonts w:ascii="Arial" w:hAnsi="Arial" w:cs="Arial"/>
          <w:b/>
          <w:bCs/>
          <w:sz w:val="24"/>
          <w:szCs w:val="24"/>
          <w:lang w:eastAsia="es-ES"/>
        </w:rPr>
        <w:t xml:space="preserve">  Mercadería en Tránsito</w:t>
      </w:r>
    </w:p>
    <w:p w:rsidR="00D7576B" w:rsidRDefault="000C2B14" w:rsidP="001F752F">
      <w:pPr>
        <w:spacing w:line="240" w:lineRule="auto"/>
        <w:ind w:left="-426"/>
        <w:rPr>
          <w:rFonts w:ascii="Arial" w:hAnsi="Arial" w:cs="Arial"/>
          <w:sz w:val="24"/>
          <w:szCs w:val="24"/>
          <w:lang w:val="es-ES_tradnl"/>
        </w:rPr>
      </w:pPr>
      <w:r w:rsidRPr="00C02FB5">
        <w:rPr>
          <w:rFonts w:ascii="Arial" w:hAnsi="Arial" w:cs="Arial"/>
          <w:sz w:val="24"/>
          <w:szCs w:val="24"/>
          <w:lang w:val="es-ES_tradnl"/>
        </w:rPr>
        <w:t xml:space="preserve">Es una cuenta transitoria donde se debitan los cargos provenientes de </w:t>
      </w:r>
      <w:hyperlink r:id="rId12" w:history="1">
        <w:r w:rsidRPr="00C02FB5">
          <w:rPr>
            <w:rFonts w:ascii="Arial" w:hAnsi="Arial" w:cs="Arial"/>
            <w:sz w:val="24"/>
            <w:szCs w:val="24"/>
            <w:lang w:val="es-ES_tradnl"/>
          </w:rPr>
          <w:t>compras</w:t>
        </w:r>
      </w:hyperlink>
      <w:r w:rsidR="00E9462A">
        <w:rPr>
          <w:rFonts w:ascii="Arial" w:hAnsi="Arial" w:cs="Arial"/>
          <w:sz w:val="24"/>
          <w:szCs w:val="24"/>
          <w:lang w:val="es-ES_tradnl"/>
        </w:rPr>
        <w:t xml:space="preserve"> aún no recibidas pero que</w:t>
      </w:r>
      <w:r w:rsidRPr="00C02FB5">
        <w:rPr>
          <w:rFonts w:ascii="Arial" w:hAnsi="Arial" w:cs="Arial"/>
          <w:sz w:val="24"/>
          <w:szCs w:val="24"/>
          <w:lang w:val="es-ES_tradnl"/>
        </w:rPr>
        <w:t xml:space="preserve"> legalmente, son </w:t>
      </w:r>
      <w:hyperlink r:id="rId13" w:history="1">
        <w:r w:rsidRPr="00C02FB5">
          <w:rPr>
            <w:rFonts w:ascii="Arial" w:hAnsi="Arial" w:cs="Arial"/>
            <w:sz w:val="24"/>
            <w:szCs w:val="24"/>
            <w:lang w:val="es-ES_tradnl"/>
          </w:rPr>
          <w:t>propiedad</w:t>
        </w:r>
      </w:hyperlink>
      <w:r w:rsidR="0036003C" w:rsidRPr="00C02FB5">
        <w:rPr>
          <w:rFonts w:ascii="Arial" w:hAnsi="Arial" w:cs="Arial"/>
          <w:sz w:val="24"/>
          <w:szCs w:val="24"/>
          <w:lang w:val="es-ES_tradnl"/>
        </w:rPr>
        <w:t xml:space="preserve"> de la institución</w:t>
      </w:r>
      <w:r w:rsidRPr="00C02FB5">
        <w:rPr>
          <w:rFonts w:ascii="Arial" w:hAnsi="Arial" w:cs="Arial"/>
          <w:sz w:val="24"/>
          <w:szCs w:val="24"/>
          <w:lang w:val="es-ES_tradnl"/>
        </w:rPr>
        <w:t xml:space="preserve">. </w:t>
      </w:r>
    </w:p>
    <w:bookmarkStart w:id="14" w:name="_MON_1419860117"/>
    <w:bookmarkEnd w:id="14"/>
    <w:p w:rsidR="00111BA7" w:rsidRDefault="0066684E" w:rsidP="001F752F">
      <w:pPr>
        <w:ind w:left="-426"/>
        <w:rPr>
          <w:rFonts w:ascii="Arial" w:hAnsi="Arial" w:cs="Arial"/>
          <w:sz w:val="24"/>
          <w:szCs w:val="24"/>
          <w:lang w:val="es-ES_tradnl"/>
        </w:rPr>
      </w:pPr>
      <w:r w:rsidRPr="00C02FB5">
        <w:rPr>
          <w:rFonts w:ascii="Arial" w:hAnsi="Arial" w:cs="Arial"/>
          <w:sz w:val="24"/>
          <w:szCs w:val="24"/>
          <w:lang w:val="es-ES_tradnl"/>
        </w:rPr>
        <w:object w:dxaOrig="10187" w:dyaOrig="1036">
          <v:shape id="_x0000_i1028" type="#_x0000_t75" style="width:510pt;height:51pt" o:ole="">
            <v:imagedata r:id="rId14" o:title=""/>
          </v:shape>
          <o:OLEObject Type="Embed" ProgID="Excel.Sheet.8" ShapeID="_x0000_i1028" DrawAspect="Content" ObjectID="_1611577075" r:id="rId15"/>
        </w:object>
      </w:r>
    </w:p>
    <w:tbl>
      <w:tblPr>
        <w:tblW w:w="7220" w:type="dxa"/>
        <w:tblCellMar>
          <w:left w:w="70" w:type="dxa"/>
          <w:right w:w="70" w:type="dxa"/>
        </w:tblCellMar>
        <w:tblLook w:val="04A0" w:firstRow="1" w:lastRow="0" w:firstColumn="1" w:lastColumn="0" w:noHBand="0" w:noVBand="1"/>
      </w:tblPr>
      <w:tblGrid>
        <w:gridCol w:w="3580"/>
        <w:gridCol w:w="1820"/>
        <w:gridCol w:w="1820"/>
      </w:tblGrid>
      <w:tr w:rsidR="00111BA7" w:rsidRPr="00111BA7" w:rsidTr="00111BA7">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center"/>
              <w:rPr>
                <w:color w:val="000000"/>
                <w:lang w:eastAsia="es-ES"/>
              </w:rPr>
            </w:pPr>
            <w:r w:rsidRPr="00111BA7">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111BA7" w:rsidRPr="00111BA7" w:rsidRDefault="00111BA7" w:rsidP="00111BA7">
            <w:pPr>
              <w:spacing w:after="0" w:line="240" w:lineRule="auto"/>
              <w:jc w:val="center"/>
              <w:rPr>
                <w:color w:val="000000"/>
                <w:lang w:eastAsia="es-ES"/>
              </w:rPr>
            </w:pPr>
            <w:r w:rsidRPr="00111BA7">
              <w:rPr>
                <w:color w:val="000000"/>
                <w:lang w:eastAsia="es-ES"/>
              </w:rPr>
              <w:t>Diciembre 2018</w:t>
            </w:r>
          </w:p>
        </w:tc>
      </w:tr>
      <w:tr w:rsidR="00111BA7" w:rsidRPr="00111BA7" w:rsidTr="00111BA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Pedidos al exterior</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914.040,08</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914.627,81</w:t>
            </w:r>
          </w:p>
        </w:tc>
      </w:tr>
      <w:tr w:rsidR="00111BA7" w:rsidRPr="00111BA7" w:rsidTr="00111BA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Pedidos de libros</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563.640,98</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565.106,87</w:t>
            </w:r>
          </w:p>
        </w:tc>
      </w:tr>
      <w:tr w:rsidR="00111BA7" w:rsidRPr="00111BA7" w:rsidTr="00111BA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left"/>
              <w:rPr>
                <w:color w:val="000000"/>
                <w:lang w:eastAsia="es-ES"/>
              </w:rPr>
            </w:pPr>
            <w:r w:rsidRPr="00111BA7">
              <w:rPr>
                <w:color w:val="000000"/>
                <w:lang w:eastAsia="es-ES"/>
              </w:rPr>
              <w:t>Compras locales</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17.811,47</w:t>
            </w:r>
          </w:p>
        </w:tc>
        <w:tc>
          <w:tcPr>
            <w:tcW w:w="1820" w:type="dxa"/>
            <w:tcBorders>
              <w:top w:val="nil"/>
              <w:left w:val="nil"/>
              <w:bottom w:val="single" w:sz="4" w:space="0" w:color="auto"/>
              <w:right w:val="single" w:sz="4" w:space="0" w:color="auto"/>
            </w:tcBorders>
            <w:shd w:val="clear" w:color="auto" w:fill="auto"/>
            <w:noWrap/>
            <w:vAlign w:val="bottom"/>
            <w:hideMark/>
          </w:tcPr>
          <w:p w:rsidR="00111BA7" w:rsidRPr="00111BA7" w:rsidRDefault="00111BA7" w:rsidP="00111BA7">
            <w:pPr>
              <w:spacing w:after="0" w:line="240" w:lineRule="auto"/>
              <w:jc w:val="right"/>
              <w:rPr>
                <w:color w:val="000000"/>
                <w:lang w:eastAsia="es-ES"/>
              </w:rPr>
            </w:pPr>
            <w:r w:rsidRPr="00111BA7">
              <w:rPr>
                <w:color w:val="000000"/>
                <w:lang w:eastAsia="es-ES"/>
              </w:rPr>
              <w:t>17.811,47</w:t>
            </w:r>
          </w:p>
        </w:tc>
      </w:tr>
    </w:tbl>
    <w:p w:rsidR="00813032" w:rsidRDefault="00813032" w:rsidP="001F752F">
      <w:pPr>
        <w:ind w:left="-426"/>
        <w:rPr>
          <w:rFonts w:ascii="Arial" w:hAnsi="Arial" w:cs="Arial"/>
          <w:sz w:val="24"/>
          <w:szCs w:val="24"/>
          <w:lang w:val="es-ES_tradnl"/>
        </w:rPr>
      </w:pPr>
    </w:p>
    <w:p w:rsidR="003B62BE" w:rsidRPr="00EE0CA7" w:rsidRDefault="003B62BE" w:rsidP="001F752F">
      <w:pPr>
        <w:shd w:val="clear" w:color="auto" w:fill="FFFFFF"/>
        <w:spacing w:after="0"/>
        <w:ind w:left="-426"/>
        <w:jc w:val="left"/>
        <w:outlineLvl w:val="2"/>
        <w:rPr>
          <w:rFonts w:ascii="Arial" w:hAnsi="Arial" w:cs="Arial"/>
          <w:b/>
          <w:bCs/>
          <w:sz w:val="24"/>
          <w:szCs w:val="24"/>
          <w:lang w:eastAsia="es-ES"/>
        </w:rPr>
      </w:pPr>
      <w:r w:rsidRPr="00EE0CA7">
        <w:rPr>
          <w:rFonts w:ascii="Arial" w:hAnsi="Arial" w:cs="Arial"/>
          <w:b/>
          <w:bCs/>
          <w:sz w:val="24"/>
          <w:szCs w:val="24"/>
          <w:lang w:eastAsia="es-ES"/>
        </w:rPr>
        <w:t xml:space="preserve">NOTA No. </w:t>
      </w:r>
      <w:r w:rsidR="009C06BA">
        <w:rPr>
          <w:rFonts w:ascii="Arial" w:hAnsi="Arial" w:cs="Arial"/>
          <w:b/>
          <w:bCs/>
          <w:sz w:val="24"/>
          <w:szCs w:val="24"/>
          <w:lang w:eastAsia="es-ES"/>
        </w:rPr>
        <w:t>7</w:t>
      </w:r>
      <w:r w:rsidRPr="00EE0CA7">
        <w:rPr>
          <w:rFonts w:ascii="Arial" w:hAnsi="Arial" w:cs="Arial"/>
          <w:b/>
          <w:bCs/>
          <w:sz w:val="24"/>
          <w:szCs w:val="24"/>
          <w:lang w:eastAsia="es-ES"/>
        </w:rPr>
        <w:t xml:space="preserve">  Gastos pagados por anticipado</w:t>
      </w:r>
    </w:p>
    <w:p w:rsidR="001A0871" w:rsidRPr="00C02FB5" w:rsidRDefault="001A0871" w:rsidP="001F752F">
      <w:pPr>
        <w:tabs>
          <w:tab w:val="num" w:pos="2160"/>
        </w:tabs>
        <w:spacing w:line="240" w:lineRule="auto"/>
        <w:ind w:left="-426"/>
        <w:rPr>
          <w:rFonts w:ascii="Arial" w:hAnsi="Arial" w:cs="Arial"/>
          <w:sz w:val="24"/>
          <w:szCs w:val="24"/>
          <w:lang w:val="es-ES_tradnl"/>
        </w:rPr>
      </w:pPr>
      <w:r w:rsidRPr="00C02FB5">
        <w:rPr>
          <w:rFonts w:ascii="Arial" w:hAnsi="Arial" w:cs="Arial"/>
          <w:sz w:val="24"/>
          <w:szCs w:val="24"/>
          <w:lang w:val="es-ES_tradnl"/>
        </w:rPr>
        <w:t xml:space="preserve">Están constituidos por las partidas que representen servicios u otros conceptos pagados que aún no han sido recibidos en su totalidad, y van a ser absorbidos como gastos </w:t>
      </w:r>
      <w:r w:rsidR="000D6F7B">
        <w:rPr>
          <w:rFonts w:ascii="Arial" w:hAnsi="Arial" w:cs="Arial"/>
          <w:sz w:val="24"/>
          <w:szCs w:val="24"/>
          <w:lang w:val="es-ES_tradnl"/>
        </w:rPr>
        <w:t>durante el año.</w:t>
      </w:r>
      <w:r w:rsidRPr="00C02FB5">
        <w:rPr>
          <w:rFonts w:ascii="Arial" w:hAnsi="Arial" w:cs="Arial"/>
          <w:sz w:val="24"/>
          <w:szCs w:val="24"/>
          <w:lang w:val="es-ES_tradnl"/>
        </w:rPr>
        <w:t xml:space="preserve"> </w:t>
      </w:r>
    </w:p>
    <w:p w:rsidR="001A0871" w:rsidRDefault="000A7832" w:rsidP="001F752F">
      <w:pPr>
        <w:tabs>
          <w:tab w:val="num" w:pos="2160"/>
        </w:tabs>
        <w:spacing w:line="240" w:lineRule="auto"/>
        <w:ind w:left="-426"/>
        <w:rPr>
          <w:rFonts w:ascii="Arial" w:hAnsi="Arial" w:cs="Arial"/>
          <w:sz w:val="24"/>
          <w:szCs w:val="24"/>
          <w:lang w:val="es-ES_tradnl"/>
        </w:rPr>
      </w:pPr>
      <w:r>
        <w:rPr>
          <w:rFonts w:ascii="Arial" w:hAnsi="Arial" w:cs="Arial"/>
          <w:sz w:val="24"/>
          <w:szCs w:val="24"/>
          <w:lang w:val="es-ES_tradnl"/>
        </w:rPr>
        <w:t xml:space="preserve">El </w:t>
      </w:r>
      <w:r w:rsidR="002F3FEF" w:rsidRPr="00C02FB5">
        <w:rPr>
          <w:rFonts w:ascii="Arial" w:hAnsi="Arial" w:cs="Arial"/>
          <w:sz w:val="24"/>
          <w:szCs w:val="24"/>
          <w:lang w:val="es-ES_tradnl"/>
        </w:rPr>
        <w:t xml:space="preserve"> rubro</w:t>
      </w:r>
      <w:r w:rsidR="001A0871" w:rsidRPr="00C02FB5">
        <w:rPr>
          <w:rFonts w:ascii="Arial" w:hAnsi="Arial" w:cs="Arial"/>
          <w:sz w:val="24"/>
          <w:szCs w:val="24"/>
          <w:lang w:val="es-ES_tradnl"/>
        </w:rPr>
        <w:t xml:space="preserve"> que conforman esta partida </w:t>
      </w:r>
      <w:r w:rsidR="002F3FEF" w:rsidRPr="00C02FB5">
        <w:rPr>
          <w:rFonts w:ascii="Arial" w:hAnsi="Arial" w:cs="Arial"/>
          <w:sz w:val="24"/>
          <w:szCs w:val="24"/>
          <w:lang w:val="es-ES_tradnl"/>
        </w:rPr>
        <w:t>es</w:t>
      </w:r>
      <w:r w:rsidR="001A0871" w:rsidRPr="00C02FB5">
        <w:rPr>
          <w:rFonts w:ascii="Arial" w:hAnsi="Arial" w:cs="Arial"/>
          <w:sz w:val="24"/>
          <w:szCs w:val="24"/>
          <w:lang w:val="es-ES_tradnl"/>
        </w:rPr>
        <w:t>:</w:t>
      </w:r>
      <w:r w:rsidR="00917713" w:rsidRPr="00C02FB5">
        <w:rPr>
          <w:rFonts w:ascii="Arial" w:hAnsi="Arial" w:cs="Arial"/>
          <w:sz w:val="24"/>
          <w:szCs w:val="24"/>
          <w:lang w:val="es-ES_tradnl"/>
        </w:rPr>
        <w:t xml:space="preserve"> </w:t>
      </w:r>
      <w:r w:rsidR="001A0871" w:rsidRPr="00C02FB5">
        <w:rPr>
          <w:rFonts w:ascii="Arial" w:hAnsi="Arial" w:cs="Arial"/>
          <w:sz w:val="24"/>
          <w:szCs w:val="24"/>
          <w:lang w:val="es-ES_tradnl"/>
        </w:rPr>
        <w:t xml:space="preserve">Primas </w:t>
      </w:r>
      <w:r w:rsidR="004A261B">
        <w:rPr>
          <w:rFonts w:ascii="Arial" w:hAnsi="Arial" w:cs="Arial"/>
          <w:sz w:val="24"/>
          <w:szCs w:val="24"/>
          <w:lang w:val="es-ES_tradnl"/>
        </w:rPr>
        <w:t>por</w:t>
      </w:r>
      <w:r w:rsidR="001A0871" w:rsidRPr="00C02FB5">
        <w:rPr>
          <w:rFonts w:ascii="Arial" w:hAnsi="Arial" w:cs="Arial"/>
          <w:sz w:val="24"/>
          <w:szCs w:val="24"/>
          <w:lang w:val="es-ES_tradnl"/>
        </w:rPr>
        <w:t xml:space="preserve"> compra de inversiones</w:t>
      </w:r>
      <w:r w:rsidR="009171B1">
        <w:rPr>
          <w:rFonts w:ascii="Arial" w:hAnsi="Arial" w:cs="Arial"/>
          <w:sz w:val="24"/>
          <w:szCs w:val="24"/>
          <w:lang w:val="es-ES_tradnl"/>
        </w:rPr>
        <w:t>.</w:t>
      </w:r>
      <w:r w:rsidR="001A0871" w:rsidRPr="00C02FB5">
        <w:rPr>
          <w:rFonts w:ascii="Arial" w:hAnsi="Arial" w:cs="Arial"/>
          <w:sz w:val="24"/>
          <w:szCs w:val="24"/>
          <w:lang w:val="es-ES_tradnl"/>
        </w:rPr>
        <w:t xml:space="preserve"> </w:t>
      </w:r>
    </w:p>
    <w:p w:rsidR="006116DE" w:rsidRPr="006116DE" w:rsidRDefault="006116DE" w:rsidP="006116DE">
      <w:pPr>
        <w:spacing w:after="0" w:line="240" w:lineRule="auto"/>
        <w:rPr>
          <w:rFonts w:ascii="Arial" w:hAnsi="Arial" w:cs="Arial"/>
          <w:sz w:val="20"/>
          <w:szCs w:val="20"/>
          <w:lang w:eastAsia="es-ES"/>
        </w:rPr>
      </w:pPr>
    </w:p>
    <w:bookmarkStart w:id="15" w:name="_MON_1561808438"/>
    <w:bookmarkEnd w:id="15"/>
    <w:p w:rsidR="00EE4AD9" w:rsidRDefault="0066684E" w:rsidP="001F752F">
      <w:pPr>
        <w:tabs>
          <w:tab w:val="num" w:pos="2160"/>
        </w:tabs>
        <w:ind w:left="-426"/>
        <w:rPr>
          <w:rFonts w:ascii="Arial" w:hAnsi="Arial" w:cs="Arial"/>
          <w:sz w:val="24"/>
          <w:szCs w:val="24"/>
          <w:lang w:val="es-ES_tradnl"/>
        </w:rPr>
      </w:pPr>
      <w:r w:rsidRPr="00C02FB5">
        <w:rPr>
          <w:rFonts w:ascii="Arial" w:hAnsi="Arial" w:cs="Arial"/>
          <w:sz w:val="24"/>
          <w:szCs w:val="24"/>
          <w:lang w:val="es-ES_tradnl"/>
        </w:rPr>
        <w:object w:dxaOrig="10187" w:dyaOrig="1036">
          <v:shape id="_x0000_i1029" type="#_x0000_t75" style="width:510pt;height:51pt" o:ole="">
            <v:imagedata r:id="rId16" o:title=""/>
          </v:shape>
          <o:OLEObject Type="Embed" ProgID="Excel.Sheet.8" ShapeID="_x0000_i1029" DrawAspect="Content" ObjectID="_1611577076" r:id="rId17"/>
        </w:object>
      </w:r>
    </w:p>
    <w:p w:rsidR="003B62BE" w:rsidRPr="00EE0CA7" w:rsidRDefault="003B62BE" w:rsidP="001F752F">
      <w:pPr>
        <w:tabs>
          <w:tab w:val="num" w:pos="2160"/>
        </w:tabs>
        <w:ind w:left="-426"/>
        <w:rPr>
          <w:rFonts w:ascii="Arial" w:hAnsi="Arial" w:cs="Arial"/>
          <w:b/>
          <w:bCs/>
          <w:sz w:val="24"/>
          <w:szCs w:val="24"/>
          <w:lang w:eastAsia="es-ES"/>
        </w:rPr>
      </w:pPr>
      <w:r w:rsidRPr="00EE0CA7">
        <w:rPr>
          <w:rFonts w:ascii="Arial" w:hAnsi="Arial" w:cs="Arial"/>
          <w:b/>
          <w:bCs/>
          <w:sz w:val="24"/>
          <w:szCs w:val="24"/>
          <w:lang w:eastAsia="es-ES"/>
        </w:rPr>
        <w:t xml:space="preserve">NOTA No. </w:t>
      </w:r>
      <w:r w:rsidR="006A728B">
        <w:rPr>
          <w:rFonts w:ascii="Arial" w:hAnsi="Arial" w:cs="Arial"/>
          <w:b/>
          <w:bCs/>
          <w:sz w:val="24"/>
          <w:szCs w:val="24"/>
          <w:lang w:eastAsia="es-ES"/>
        </w:rPr>
        <w:t>8</w:t>
      </w:r>
      <w:r w:rsidRPr="00EE0CA7">
        <w:rPr>
          <w:rFonts w:ascii="Arial" w:hAnsi="Arial" w:cs="Arial"/>
          <w:b/>
          <w:bCs/>
          <w:sz w:val="24"/>
          <w:szCs w:val="24"/>
          <w:lang w:eastAsia="es-ES"/>
        </w:rPr>
        <w:t xml:space="preserve">  Inversiones a Corto Plazo</w:t>
      </w:r>
      <w:r w:rsidR="00EC5689">
        <w:rPr>
          <w:rFonts w:ascii="Arial" w:hAnsi="Arial" w:cs="Arial"/>
          <w:b/>
          <w:bCs/>
          <w:sz w:val="24"/>
          <w:szCs w:val="24"/>
          <w:lang w:eastAsia="es-ES"/>
        </w:rPr>
        <w:t xml:space="preserve"> y largo plazo</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Las inversiones transitorias tanto en dólares como en colones, se realizan en instituciones del Sistema Bancario Nacional a través de diferentes instrumentos de inversión como son fondos de inversión, certificados de depósito a plazo, en puestos de bolsa por medio de bonos de estabilización monetaria tasa variables</w:t>
      </w:r>
      <w:r w:rsidR="00F423F6">
        <w:rPr>
          <w:rFonts w:ascii="Arial" w:hAnsi="Arial" w:cs="Arial"/>
          <w:bCs/>
          <w:color w:val="000000"/>
          <w:sz w:val="24"/>
          <w:szCs w:val="24"/>
          <w:lang w:eastAsia="es-ES"/>
        </w:rPr>
        <w:t xml:space="preserve"> y cero cupón, fondos de inversión, etc.</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Cuando las inversiones incluyen intereses acumulados a la compra se procede a registrar dicho monto en una cuenta por cobrar.</w:t>
      </w:r>
    </w:p>
    <w:p w:rsidR="003516E3" w:rsidRPr="00C02FB5" w:rsidRDefault="003516E3"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registros se clasifican por banco y por tipo de moneda.</w:t>
      </w:r>
    </w:p>
    <w:p w:rsidR="003516E3" w:rsidRDefault="003516E3" w:rsidP="001F752F">
      <w:pPr>
        <w:tabs>
          <w:tab w:val="num" w:pos="2160"/>
        </w:tabs>
        <w:spacing w:after="0" w:line="240" w:lineRule="auto"/>
        <w:ind w:left="-426"/>
        <w:rPr>
          <w:rFonts w:ascii="Arial" w:hAnsi="Arial" w:cs="Arial"/>
          <w:sz w:val="24"/>
          <w:szCs w:val="24"/>
        </w:rPr>
      </w:pPr>
      <w:r w:rsidRPr="00C02FB5">
        <w:rPr>
          <w:rFonts w:ascii="Arial" w:hAnsi="Arial" w:cs="Arial"/>
          <w:sz w:val="24"/>
          <w:szCs w:val="24"/>
        </w:rPr>
        <w:t xml:space="preserve">Las inversiones en monedas diferentes al colón se revaloran mensualmente, utilizando el tipo de cambio de compra </w:t>
      </w:r>
      <w:r w:rsidR="00F2499D">
        <w:rPr>
          <w:rFonts w:ascii="Arial" w:hAnsi="Arial" w:cs="Arial"/>
          <w:sz w:val="24"/>
          <w:szCs w:val="24"/>
        </w:rPr>
        <w:t>del Banco Central de Costa Rica, para las operaciones con el Sector Público no Bancario.</w:t>
      </w:r>
    </w:p>
    <w:p w:rsidR="008A57D2" w:rsidRDefault="008A57D2" w:rsidP="001F752F">
      <w:pPr>
        <w:tabs>
          <w:tab w:val="num" w:pos="2160"/>
        </w:tabs>
        <w:spacing w:after="0" w:line="240" w:lineRule="auto"/>
        <w:ind w:left="-426"/>
        <w:rPr>
          <w:rFonts w:ascii="Arial" w:hAnsi="Arial" w:cs="Arial"/>
          <w:sz w:val="24"/>
          <w:szCs w:val="24"/>
        </w:rPr>
      </w:pPr>
    </w:p>
    <w:p w:rsidR="008A57D2" w:rsidRDefault="008A57D2" w:rsidP="001F752F">
      <w:pPr>
        <w:tabs>
          <w:tab w:val="num" w:pos="2160"/>
        </w:tabs>
        <w:spacing w:after="0" w:line="240" w:lineRule="auto"/>
        <w:ind w:left="-426"/>
        <w:rPr>
          <w:rFonts w:ascii="Arial" w:hAnsi="Arial" w:cs="Arial"/>
          <w:sz w:val="24"/>
          <w:szCs w:val="24"/>
        </w:rPr>
      </w:pPr>
      <w:r>
        <w:rPr>
          <w:rFonts w:ascii="Arial" w:hAnsi="Arial" w:cs="Arial"/>
          <w:sz w:val="24"/>
          <w:szCs w:val="24"/>
        </w:rPr>
        <w:t>Los fondos de inversión se revaloran mensualmente a valor de mercado.</w:t>
      </w:r>
    </w:p>
    <w:p w:rsidR="008A57D2" w:rsidRPr="00C02FB5" w:rsidRDefault="008A57D2" w:rsidP="001F752F">
      <w:pPr>
        <w:tabs>
          <w:tab w:val="num" w:pos="2160"/>
        </w:tabs>
        <w:spacing w:after="0" w:line="240" w:lineRule="auto"/>
        <w:ind w:left="-426"/>
        <w:rPr>
          <w:rFonts w:ascii="Arial" w:hAnsi="Arial" w:cs="Arial"/>
          <w:sz w:val="24"/>
          <w:szCs w:val="24"/>
        </w:rPr>
      </w:pPr>
    </w:p>
    <w:bookmarkStart w:id="16" w:name="_MON_1419860852"/>
    <w:bookmarkEnd w:id="16"/>
    <w:p w:rsidR="003B62BE" w:rsidRDefault="00DA4E24" w:rsidP="001F752F">
      <w:pPr>
        <w:tabs>
          <w:tab w:val="num" w:pos="2160"/>
        </w:tabs>
        <w:spacing w:after="0"/>
        <w:ind w:left="-426"/>
        <w:rPr>
          <w:rFonts w:ascii="Arial" w:hAnsi="Arial" w:cs="Arial"/>
          <w:sz w:val="24"/>
          <w:szCs w:val="24"/>
        </w:rPr>
      </w:pPr>
      <w:r w:rsidRPr="00C02FB5">
        <w:rPr>
          <w:rFonts w:ascii="Arial" w:hAnsi="Arial" w:cs="Arial"/>
          <w:sz w:val="24"/>
          <w:szCs w:val="24"/>
        </w:rPr>
        <w:object w:dxaOrig="9660" w:dyaOrig="1065">
          <v:shape id="_x0000_i1030" type="#_x0000_t75" style="width:483.75pt;height:52.5pt" o:ole="">
            <v:imagedata r:id="rId18" o:title=""/>
          </v:shape>
          <o:OLEObject Type="Embed" ProgID="Excel.Sheet.8" ShapeID="_x0000_i1030" DrawAspect="Content" ObjectID="_1611577077" r:id="rId19"/>
        </w:object>
      </w:r>
    </w:p>
    <w:p w:rsidR="00B774AF" w:rsidRDefault="00B774AF" w:rsidP="001F752F">
      <w:pPr>
        <w:tabs>
          <w:tab w:val="num" w:pos="2160"/>
        </w:tabs>
        <w:spacing w:after="0"/>
        <w:ind w:left="-426"/>
        <w:rPr>
          <w:rFonts w:ascii="Arial" w:hAnsi="Arial" w:cs="Arial"/>
          <w:sz w:val="24"/>
          <w:szCs w:val="24"/>
        </w:rPr>
      </w:pPr>
      <w:r>
        <w:rPr>
          <w:rFonts w:ascii="Arial" w:hAnsi="Arial" w:cs="Arial"/>
          <w:sz w:val="24"/>
          <w:szCs w:val="24"/>
        </w:rPr>
        <w:t xml:space="preserve">Composición de la cartera </w:t>
      </w:r>
      <w:r w:rsidR="00111BA7">
        <w:rPr>
          <w:rFonts w:ascii="Arial" w:hAnsi="Arial" w:cs="Arial"/>
          <w:sz w:val="24"/>
          <w:szCs w:val="24"/>
        </w:rPr>
        <w:t xml:space="preserve">enero </w:t>
      </w:r>
      <w:r>
        <w:rPr>
          <w:rFonts w:ascii="Arial" w:hAnsi="Arial" w:cs="Arial"/>
          <w:sz w:val="24"/>
          <w:szCs w:val="24"/>
        </w:rPr>
        <w:t xml:space="preserve"> 201</w:t>
      </w:r>
      <w:r w:rsidR="00111BA7">
        <w:rPr>
          <w:rFonts w:ascii="Arial" w:hAnsi="Arial" w:cs="Arial"/>
          <w:sz w:val="24"/>
          <w:szCs w:val="24"/>
        </w:rPr>
        <w:t>9</w:t>
      </w:r>
      <w:r>
        <w:rPr>
          <w:rFonts w:ascii="Arial" w:hAnsi="Arial" w:cs="Arial"/>
          <w:sz w:val="24"/>
          <w:szCs w:val="24"/>
        </w:rPr>
        <w:t xml:space="preserve"> monto en colones y dólares</w:t>
      </w:r>
    </w:p>
    <w:p w:rsidR="00B774AF" w:rsidRPr="00057AE4" w:rsidRDefault="00B774AF" w:rsidP="001F752F">
      <w:pPr>
        <w:spacing w:after="0" w:line="240" w:lineRule="auto"/>
        <w:ind w:left="-426"/>
        <w:jc w:val="left"/>
        <w:rPr>
          <w:rFonts w:ascii="Arial" w:hAnsi="Arial" w:cs="Arial"/>
          <w:sz w:val="18"/>
          <w:szCs w:val="18"/>
          <w:lang w:eastAsia="es-CR"/>
        </w:rPr>
      </w:pPr>
    </w:p>
    <w:p w:rsidR="00EC148C" w:rsidRDefault="002870EE" w:rsidP="00EC148C">
      <w:pPr>
        <w:spacing w:after="0" w:line="240" w:lineRule="auto"/>
        <w:ind w:left="-426"/>
        <w:jc w:val="left"/>
        <w:rPr>
          <w:rFonts w:ascii="Arial" w:hAnsi="Arial" w:cs="Arial"/>
          <w:b/>
          <w:bCs/>
          <w:sz w:val="18"/>
          <w:szCs w:val="18"/>
          <w:lang w:val="es-CR" w:eastAsia="es-CR"/>
        </w:rPr>
      </w:pPr>
      <w:r>
        <w:rPr>
          <w:rFonts w:ascii="Arial" w:hAnsi="Arial" w:cs="Arial"/>
          <w:b/>
          <w:bCs/>
          <w:sz w:val="18"/>
          <w:szCs w:val="18"/>
          <w:lang w:val="es-CR" w:eastAsia="es-CR"/>
        </w:rPr>
        <w:t>BN Valore</w:t>
      </w:r>
      <w:r w:rsidR="00227B81">
        <w:rPr>
          <w:rFonts w:ascii="Arial" w:hAnsi="Arial" w:cs="Arial"/>
          <w:b/>
          <w:bCs/>
          <w:sz w:val="18"/>
          <w:szCs w:val="18"/>
          <w:lang w:val="es-CR" w:eastAsia="es-CR"/>
        </w:rPr>
        <w:t>s</w:t>
      </w:r>
    </w:p>
    <w:p w:rsidR="00EC148C" w:rsidRDefault="00EC148C" w:rsidP="00EC148C">
      <w:pPr>
        <w:spacing w:after="0" w:line="240" w:lineRule="auto"/>
        <w:ind w:left="-426"/>
        <w:jc w:val="left"/>
        <w:rPr>
          <w:rFonts w:ascii="Arial" w:hAnsi="Arial" w:cs="Arial"/>
          <w:b/>
          <w:bCs/>
          <w:sz w:val="18"/>
          <w:szCs w:val="18"/>
          <w:lang w:val="es-CR" w:eastAsia="es-CR"/>
        </w:rPr>
      </w:pPr>
    </w:p>
    <w:p w:rsidR="00EC148C" w:rsidRDefault="00B774AF" w:rsidP="00EC148C">
      <w:pPr>
        <w:spacing w:after="0" w:line="240" w:lineRule="auto"/>
        <w:ind w:left="-426"/>
        <w:jc w:val="left"/>
        <w:rPr>
          <w:rFonts w:ascii="Arial" w:hAnsi="Arial" w:cs="Arial"/>
          <w:color w:val="000000"/>
          <w:sz w:val="18"/>
          <w:szCs w:val="18"/>
          <w:lang w:eastAsia="es-ES"/>
        </w:rPr>
      </w:pPr>
      <w:r w:rsidRPr="00AB11E3">
        <w:rPr>
          <w:rFonts w:ascii="Arial" w:hAnsi="Arial" w:cs="Arial"/>
          <w:sz w:val="18"/>
          <w:szCs w:val="18"/>
          <w:lang w:val="es-CR" w:eastAsia="es-CR"/>
        </w:rPr>
        <w:t>Títulos y Valores Nacionales</w:t>
      </w:r>
      <w:r>
        <w:rPr>
          <w:rFonts w:ascii="Arial" w:hAnsi="Arial" w:cs="Arial"/>
          <w:sz w:val="18"/>
          <w:szCs w:val="18"/>
          <w:lang w:val="es-CR" w:eastAsia="es-CR"/>
        </w:rPr>
        <w:t xml:space="preserve">        </w:t>
      </w:r>
      <w:r w:rsidR="00EC148C" w:rsidRPr="00EC148C">
        <w:rPr>
          <w:rFonts w:ascii="Arial" w:hAnsi="Arial" w:cs="Arial"/>
          <w:color w:val="000000"/>
          <w:sz w:val="18"/>
          <w:szCs w:val="18"/>
          <w:lang w:eastAsia="es-ES"/>
        </w:rPr>
        <w:t>¢10.088.000.000,00</w:t>
      </w:r>
    </w:p>
    <w:p w:rsidR="00EC148C" w:rsidRDefault="00EC148C" w:rsidP="00EC148C">
      <w:pPr>
        <w:spacing w:after="0" w:line="240" w:lineRule="auto"/>
        <w:ind w:left="-426"/>
        <w:jc w:val="left"/>
        <w:rPr>
          <w:rFonts w:ascii="Arial" w:hAnsi="Arial" w:cs="Arial"/>
          <w:color w:val="000000"/>
          <w:sz w:val="18"/>
          <w:szCs w:val="18"/>
          <w:lang w:eastAsia="es-ES"/>
        </w:rPr>
      </w:pPr>
    </w:p>
    <w:p w:rsidR="00EC148C" w:rsidRDefault="002E0D2F" w:rsidP="00EC148C">
      <w:pPr>
        <w:spacing w:after="0" w:line="240" w:lineRule="auto"/>
        <w:ind w:left="-426"/>
        <w:jc w:val="left"/>
        <w:rPr>
          <w:rFonts w:ascii="Arial" w:hAnsi="Arial" w:cs="Arial"/>
          <w:color w:val="000000"/>
          <w:sz w:val="18"/>
          <w:szCs w:val="18"/>
          <w:lang w:eastAsia="es-ES"/>
        </w:rPr>
      </w:pPr>
      <w:r>
        <w:rPr>
          <w:rFonts w:ascii="Arial" w:hAnsi="Arial" w:cs="Arial"/>
          <w:sz w:val="18"/>
          <w:szCs w:val="18"/>
          <w:lang w:val="es-CR" w:eastAsia="es-CR"/>
        </w:rPr>
        <w:t>F</w:t>
      </w:r>
      <w:r w:rsidR="00B774AF" w:rsidRPr="003839B1">
        <w:rPr>
          <w:rFonts w:ascii="Arial" w:hAnsi="Arial" w:cs="Arial"/>
          <w:sz w:val="18"/>
          <w:szCs w:val="18"/>
          <w:lang w:val="es-CR" w:eastAsia="es-CR"/>
        </w:rPr>
        <w:t>ondos de Inversión</w:t>
      </w:r>
      <w:r w:rsidR="00B774AF">
        <w:rPr>
          <w:rFonts w:ascii="Arial" w:hAnsi="Arial" w:cs="Arial"/>
          <w:sz w:val="18"/>
          <w:szCs w:val="18"/>
          <w:lang w:val="es-CR" w:eastAsia="es-CR"/>
        </w:rPr>
        <w:tab/>
      </w:r>
      <w:r w:rsidR="00C92EE6">
        <w:rPr>
          <w:rFonts w:ascii="Arial" w:hAnsi="Arial" w:cs="Arial"/>
          <w:sz w:val="18"/>
          <w:szCs w:val="18"/>
          <w:lang w:val="es-CR" w:eastAsia="es-CR"/>
        </w:rPr>
        <w:t xml:space="preserve">                 </w:t>
      </w:r>
      <w:r w:rsidR="00EC148C" w:rsidRPr="00EC148C">
        <w:rPr>
          <w:rFonts w:ascii="Arial" w:hAnsi="Arial" w:cs="Arial"/>
          <w:color w:val="000000"/>
          <w:sz w:val="18"/>
          <w:szCs w:val="18"/>
          <w:lang w:eastAsia="es-ES"/>
        </w:rPr>
        <w:t>¢4.870.121.668,44</w:t>
      </w:r>
    </w:p>
    <w:p w:rsidR="00EC148C" w:rsidRDefault="00EC148C" w:rsidP="00EC148C">
      <w:pPr>
        <w:spacing w:after="0" w:line="240" w:lineRule="auto"/>
        <w:ind w:left="-426"/>
        <w:jc w:val="left"/>
        <w:rPr>
          <w:rFonts w:ascii="Arial" w:hAnsi="Arial" w:cs="Arial"/>
          <w:bCs/>
          <w:sz w:val="18"/>
          <w:szCs w:val="18"/>
          <w:lang w:val="es-CR" w:eastAsia="es-CR"/>
        </w:rPr>
      </w:pPr>
    </w:p>
    <w:p w:rsidR="00EC148C" w:rsidRPr="00EC148C" w:rsidRDefault="00B774AF" w:rsidP="00EC148C">
      <w:pPr>
        <w:spacing w:after="0" w:line="240" w:lineRule="auto"/>
        <w:ind w:left="-426"/>
        <w:jc w:val="left"/>
        <w:rPr>
          <w:rFonts w:ascii="Arial" w:hAnsi="Arial" w:cs="Arial"/>
          <w:color w:val="000000"/>
          <w:sz w:val="18"/>
          <w:szCs w:val="18"/>
          <w:lang w:eastAsia="es-ES"/>
        </w:rPr>
      </w:pPr>
      <w:r>
        <w:rPr>
          <w:rFonts w:ascii="Arial" w:hAnsi="Arial" w:cs="Arial"/>
          <w:bCs/>
          <w:sz w:val="18"/>
          <w:szCs w:val="18"/>
          <w:lang w:val="es-CR" w:eastAsia="es-CR"/>
        </w:rPr>
        <w:t xml:space="preserve">Fondos de Inversión </w:t>
      </w:r>
      <w:r>
        <w:rPr>
          <w:rFonts w:ascii="Arial" w:hAnsi="Arial" w:cs="Arial"/>
          <w:bCs/>
          <w:sz w:val="18"/>
          <w:szCs w:val="18"/>
          <w:lang w:val="es-CR" w:eastAsia="es-CR"/>
        </w:rPr>
        <w:tab/>
      </w:r>
      <w:r>
        <w:rPr>
          <w:rFonts w:ascii="Arial" w:hAnsi="Arial" w:cs="Arial"/>
          <w:bCs/>
          <w:sz w:val="18"/>
          <w:szCs w:val="18"/>
          <w:lang w:val="es-CR" w:eastAsia="es-CR"/>
        </w:rPr>
        <w:tab/>
      </w:r>
      <w:r w:rsidR="00EC148C" w:rsidRPr="00EC148C">
        <w:rPr>
          <w:rFonts w:ascii="Arial" w:hAnsi="Arial" w:cs="Arial"/>
          <w:color w:val="000000"/>
          <w:sz w:val="18"/>
          <w:szCs w:val="18"/>
          <w:lang w:eastAsia="es-ES"/>
        </w:rPr>
        <w:t>$1.692,90</w:t>
      </w:r>
    </w:p>
    <w:p w:rsidR="002E0D2F" w:rsidRPr="002E0D2F" w:rsidRDefault="002E0D2F" w:rsidP="002E0D2F">
      <w:pPr>
        <w:spacing w:after="0" w:line="240" w:lineRule="auto"/>
        <w:ind w:left="-426"/>
        <w:jc w:val="left"/>
        <w:rPr>
          <w:rFonts w:ascii="Arial" w:hAnsi="Arial" w:cs="Arial"/>
          <w:color w:val="000000"/>
          <w:sz w:val="18"/>
          <w:szCs w:val="18"/>
          <w:lang w:eastAsia="es-ES"/>
        </w:rPr>
      </w:pPr>
    </w:p>
    <w:p w:rsidR="00FC33B9" w:rsidRPr="00FC33B9" w:rsidRDefault="00FC33B9" w:rsidP="00FC33B9">
      <w:pPr>
        <w:spacing w:after="0" w:line="240" w:lineRule="auto"/>
        <w:ind w:left="-426"/>
        <w:jc w:val="left"/>
        <w:rPr>
          <w:rFonts w:ascii="Arial" w:hAnsi="Arial" w:cs="Arial"/>
          <w:b/>
          <w:bCs/>
          <w:sz w:val="18"/>
          <w:szCs w:val="18"/>
          <w:lang w:val="es-CR" w:eastAsia="es-CR"/>
        </w:rPr>
      </w:pPr>
    </w:p>
    <w:p w:rsidR="009B3417" w:rsidRPr="009B3417" w:rsidRDefault="00FC33B9" w:rsidP="001F752F">
      <w:pPr>
        <w:ind w:left="-426"/>
        <w:jc w:val="left"/>
        <w:rPr>
          <w:rFonts w:ascii="Arial" w:hAnsi="Arial" w:cs="Arial"/>
          <w:sz w:val="18"/>
          <w:szCs w:val="18"/>
          <w:lang w:val="es-CR" w:eastAsia="es-CR"/>
        </w:rPr>
      </w:pPr>
      <w:r>
        <w:rPr>
          <w:rFonts w:ascii="Arial" w:hAnsi="Arial" w:cs="Arial"/>
          <w:bCs/>
          <w:sz w:val="18"/>
          <w:szCs w:val="18"/>
          <w:lang w:val="es-CR" w:eastAsia="es-CR"/>
        </w:rPr>
        <w:t>Unidades de Desarrollo</w:t>
      </w:r>
      <w:r>
        <w:rPr>
          <w:rFonts w:ascii="Arial" w:hAnsi="Arial" w:cs="Arial"/>
          <w:bCs/>
          <w:sz w:val="18"/>
          <w:szCs w:val="18"/>
          <w:lang w:val="es-CR" w:eastAsia="es-CR"/>
        </w:rPr>
        <w:tab/>
      </w:r>
      <w:r w:rsidR="00EA61DF">
        <w:rPr>
          <w:rFonts w:ascii="Arial" w:hAnsi="Arial" w:cs="Arial"/>
          <w:bCs/>
          <w:sz w:val="18"/>
          <w:szCs w:val="18"/>
          <w:lang w:val="es-CR" w:eastAsia="es-CR"/>
        </w:rPr>
        <w:t xml:space="preserve">    </w:t>
      </w:r>
      <w:r w:rsidR="00624213">
        <w:rPr>
          <w:rFonts w:ascii="Arial" w:hAnsi="Arial" w:cs="Arial"/>
          <w:bCs/>
          <w:sz w:val="18"/>
          <w:szCs w:val="18"/>
          <w:lang w:val="es-CR" w:eastAsia="es-CR"/>
        </w:rPr>
        <w:t xml:space="preserve"> </w:t>
      </w:r>
      <w:r w:rsidR="00C92EE6">
        <w:rPr>
          <w:rFonts w:ascii="Arial" w:hAnsi="Arial" w:cs="Arial"/>
          <w:sz w:val="18"/>
          <w:szCs w:val="18"/>
          <w:lang w:val="es-CR" w:eastAsia="es-CR"/>
        </w:rPr>
        <w:t>$</w:t>
      </w:r>
      <w:r w:rsidR="009B3417" w:rsidRPr="009B3417">
        <w:rPr>
          <w:rFonts w:ascii="Arial" w:hAnsi="Arial" w:cs="Arial"/>
          <w:sz w:val="18"/>
          <w:szCs w:val="18"/>
          <w:lang w:val="es-CR" w:eastAsia="es-CR"/>
        </w:rPr>
        <w:t xml:space="preserve"> 1.585.000,00</w:t>
      </w:r>
    </w:p>
    <w:p w:rsidR="00EC148C" w:rsidRDefault="00B774AF" w:rsidP="00EC148C">
      <w:pPr>
        <w:ind w:left="-426"/>
        <w:jc w:val="left"/>
        <w:rPr>
          <w:rFonts w:ascii="Arial" w:hAnsi="Arial" w:cs="Arial"/>
          <w:b/>
          <w:bCs/>
          <w:sz w:val="18"/>
          <w:szCs w:val="18"/>
          <w:lang w:val="es-CR" w:eastAsia="es-CR"/>
        </w:rPr>
      </w:pPr>
      <w:r w:rsidRPr="00505D4F">
        <w:rPr>
          <w:rFonts w:ascii="Arial" w:hAnsi="Arial" w:cs="Arial"/>
          <w:b/>
          <w:bCs/>
          <w:sz w:val="18"/>
          <w:szCs w:val="18"/>
          <w:lang w:val="es-CR" w:eastAsia="es-CR"/>
        </w:rPr>
        <w:t>Popular Valores</w:t>
      </w:r>
    </w:p>
    <w:p w:rsidR="00EC148C" w:rsidRDefault="00B774AF" w:rsidP="00EC148C">
      <w:pPr>
        <w:ind w:left="-426"/>
        <w:jc w:val="left"/>
        <w:rPr>
          <w:rFonts w:ascii="Arial" w:hAnsi="Arial" w:cs="Arial"/>
          <w:color w:val="000000"/>
          <w:sz w:val="18"/>
          <w:szCs w:val="18"/>
          <w:lang w:eastAsia="es-ES"/>
        </w:rPr>
      </w:pPr>
      <w:r w:rsidRPr="00505D4F">
        <w:rPr>
          <w:rFonts w:ascii="Arial" w:hAnsi="Arial" w:cs="Arial"/>
          <w:sz w:val="18"/>
          <w:szCs w:val="18"/>
          <w:lang w:val="es-CR" w:eastAsia="es-CR"/>
        </w:rPr>
        <w:t>Títulos y Valores Nacionales</w:t>
      </w:r>
      <w:r>
        <w:rPr>
          <w:rFonts w:ascii="Arial" w:hAnsi="Arial" w:cs="Arial"/>
          <w:sz w:val="18"/>
          <w:szCs w:val="18"/>
          <w:lang w:val="es-CR" w:eastAsia="es-CR"/>
        </w:rPr>
        <w:tab/>
      </w:r>
      <w:r w:rsidR="00EC148C" w:rsidRPr="00EC148C">
        <w:rPr>
          <w:rFonts w:ascii="Arial" w:hAnsi="Arial" w:cs="Arial"/>
          <w:color w:val="000000"/>
          <w:sz w:val="18"/>
          <w:szCs w:val="18"/>
          <w:lang w:eastAsia="es-ES"/>
        </w:rPr>
        <w:t>¢12.133.200.000,00</w:t>
      </w:r>
    </w:p>
    <w:p w:rsidR="00EC148C" w:rsidRDefault="00E426B3" w:rsidP="00EC148C">
      <w:pPr>
        <w:ind w:left="-426"/>
        <w:jc w:val="left"/>
        <w:rPr>
          <w:rFonts w:ascii="Arial" w:hAnsi="Arial" w:cs="Arial"/>
          <w:color w:val="000000"/>
          <w:sz w:val="18"/>
          <w:szCs w:val="18"/>
          <w:lang w:eastAsia="es-ES"/>
        </w:rPr>
      </w:pPr>
      <w:r>
        <w:rPr>
          <w:rFonts w:ascii="Arial" w:hAnsi="Arial" w:cs="Arial"/>
          <w:sz w:val="18"/>
          <w:szCs w:val="18"/>
          <w:lang w:eastAsia="es-ES"/>
        </w:rPr>
        <w:t>F</w:t>
      </w:r>
      <w:proofErr w:type="spellStart"/>
      <w:r w:rsidR="00C92EE6">
        <w:rPr>
          <w:rFonts w:ascii="Arial" w:hAnsi="Arial" w:cs="Arial"/>
          <w:color w:val="000000"/>
          <w:sz w:val="18"/>
          <w:szCs w:val="18"/>
          <w:lang w:val="es-CR" w:eastAsia="es-CR"/>
        </w:rPr>
        <w:t>ondos</w:t>
      </w:r>
      <w:proofErr w:type="spellEnd"/>
      <w:r w:rsidR="00C92EE6">
        <w:rPr>
          <w:rFonts w:ascii="Arial" w:hAnsi="Arial" w:cs="Arial"/>
          <w:color w:val="000000"/>
          <w:sz w:val="18"/>
          <w:szCs w:val="18"/>
          <w:lang w:val="es-CR" w:eastAsia="es-CR"/>
        </w:rPr>
        <w:t xml:space="preserve"> de Inversión   </w:t>
      </w:r>
      <w:r w:rsidR="00624213">
        <w:rPr>
          <w:rFonts w:ascii="Arial" w:hAnsi="Arial" w:cs="Arial"/>
          <w:color w:val="000000"/>
          <w:sz w:val="18"/>
          <w:szCs w:val="18"/>
          <w:lang w:val="es-CR" w:eastAsia="es-CR"/>
        </w:rPr>
        <w:t xml:space="preserve">               </w:t>
      </w:r>
      <w:r w:rsidR="00EC148C" w:rsidRPr="00EC148C">
        <w:rPr>
          <w:rFonts w:ascii="Arial" w:hAnsi="Arial" w:cs="Arial"/>
          <w:color w:val="000000"/>
          <w:sz w:val="18"/>
          <w:szCs w:val="18"/>
          <w:lang w:eastAsia="es-ES"/>
        </w:rPr>
        <w:t>¢3.002.282.915,50</w:t>
      </w:r>
    </w:p>
    <w:p w:rsidR="00EC148C" w:rsidRPr="00EC148C" w:rsidRDefault="00EC148C" w:rsidP="00EC148C">
      <w:pPr>
        <w:ind w:left="-426"/>
        <w:jc w:val="left"/>
        <w:rPr>
          <w:rFonts w:ascii="Arial" w:hAnsi="Arial" w:cs="Arial"/>
          <w:color w:val="000000"/>
          <w:sz w:val="18"/>
          <w:szCs w:val="18"/>
          <w:lang w:eastAsia="es-ES"/>
        </w:rPr>
      </w:pPr>
      <w:r>
        <w:rPr>
          <w:rFonts w:ascii="Arial" w:hAnsi="Arial" w:cs="Arial"/>
          <w:bCs/>
          <w:sz w:val="18"/>
          <w:szCs w:val="18"/>
          <w:lang w:val="es-CR" w:eastAsia="es-CR"/>
        </w:rPr>
        <w:t xml:space="preserve">Fondos de Inversión </w:t>
      </w:r>
      <w:r>
        <w:rPr>
          <w:rFonts w:ascii="Arial" w:hAnsi="Arial" w:cs="Arial"/>
          <w:bCs/>
          <w:sz w:val="18"/>
          <w:szCs w:val="18"/>
          <w:lang w:val="es-CR" w:eastAsia="es-CR"/>
        </w:rPr>
        <w:tab/>
      </w:r>
      <w:r>
        <w:rPr>
          <w:rFonts w:ascii="Arial" w:hAnsi="Arial" w:cs="Arial"/>
          <w:bCs/>
          <w:sz w:val="18"/>
          <w:szCs w:val="18"/>
          <w:lang w:val="es-CR" w:eastAsia="es-CR"/>
        </w:rPr>
        <w:tab/>
      </w:r>
      <w:r w:rsidRPr="00EC148C">
        <w:rPr>
          <w:rFonts w:ascii="Arial" w:hAnsi="Arial" w:cs="Arial"/>
          <w:color w:val="000000"/>
          <w:sz w:val="18"/>
          <w:szCs w:val="18"/>
          <w:lang w:eastAsia="es-ES"/>
        </w:rPr>
        <w:t>$6.957,58</w:t>
      </w:r>
    </w:p>
    <w:p w:rsidR="00EC148C" w:rsidRPr="00EC148C" w:rsidRDefault="00EC148C" w:rsidP="00EC148C">
      <w:pPr>
        <w:spacing w:after="0" w:line="240" w:lineRule="auto"/>
        <w:ind w:left="-426"/>
        <w:jc w:val="left"/>
        <w:rPr>
          <w:rFonts w:ascii="Arial" w:hAnsi="Arial" w:cs="Arial"/>
          <w:color w:val="000000"/>
          <w:sz w:val="18"/>
          <w:szCs w:val="18"/>
          <w:lang w:eastAsia="es-ES"/>
        </w:rPr>
      </w:pPr>
    </w:p>
    <w:p w:rsidR="00B774AF" w:rsidRPr="00E6010A" w:rsidRDefault="00B774AF" w:rsidP="001F752F">
      <w:pPr>
        <w:ind w:left="-426"/>
        <w:jc w:val="left"/>
        <w:rPr>
          <w:rFonts w:ascii="Arial" w:hAnsi="Arial" w:cs="Arial"/>
          <w:sz w:val="18"/>
          <w:szCs w:val="18"/>
          <w:lang w:val="es-CR" w:eastAsia="es-CR"/>
        </w:rPr>
      </w:pPr>
      <w:r>
        <w:rPr>
          <w:rFonts w:ascii="Arial" w:hAnsi="Arial" w:cs="Arial"/>
          <w:bCs/>
          <w:sz w:val="18"/>
          <w:szCs w:val="18"/>
          <w:lang w:val="es-CR" w:eastAsia="es-CR"/>
        </w:rPr>
        <w:t>U</w:t>
      </w:r>
      <w:r w:rsidR="00624213">
        <w:rPr>
          <w:rFonts w:ascii="Arial" w:hAnsi="Arial" w:cs="Arial"/>
          <w:bCs/>
          <w:sz w:val="18"/>
          <w:szCs w:val="18"/>
          <w:lang w:val="es-CR" w:eastAsia="es-CR"/>
        </w:rPr>
        <w:t>nidades de Desarrollo</w:t>
      </w:r>
      <w:r w:rsidR="00624213">
        <w:rPr>
          <w:rFonts w:ascii="Arial" w:hAnsi="Arial" w:cs="Arial"/>
          <w:bCs/>
          <w:sz w:val="18"/>
          <w:szCs w:val="18"/>
          <w:lang w:val="es-CR" w:eastAsia="es-CR"/>
        </w:rPr>
        <w:tab/>
      </w:r>
      <w:r w:rsidR="00EA61DF">
        <w:rPr>
          <w:rFonts w:ascii="Arial" w:hAnsi="Arial" w:cs="Arial"/>
          <w:sz w:val="18"/>
          <w:szCs w:val="18"/>
          <w:lang w:val="es-CR" w:eastAsia="es-CR"/>
        </w:rPr>
        <w:t>$</w:t>
      </w:r>
      <w:r w:rsidRPr="00E6010A">
        <w:rPr>
          <w:rFonts w:ascii="Arial" w:hAnsi="Arial" w:cs="Arial"/>
          <w:sz w:val="18"/>
          <w:szCs w:val="18"/>
          <w:lang w:val="es-CR" w:eastAsia="es-CR"/>
        </w:rPr>
        <w:t xml:space="preserve"> 300.000,00</w:t>
      </w:r>
    </w:p>
    <w:p w:rsidR="00EC148C" w:rsidRDefault="00B774AF" w:rsidP="00EC148C">
      <w:pPr>
        <w:spacing w:after="0" w:line="240" w:lineRule="auto"/>
        <w:ind w:left="-426"/>
        <w:jc w:val="left"/>
        <w:rPr>
          <w:rFonts w:ascii="Arial" w:hAnsi="Arial" w:cs="Arial"/>
          <w:b/>
          <w:bCs/>
          <w:sz w:val="18"/>
          <w:szCs w:val="18"/>
          <w:lang w:val="es-CR" w:eastAsia="es-CR"/>
        </w:rPr>
      </w:pPr>
      <w:r w:rsidRPr="00E6010A">
        <w:rPr>
          <w:rFonts w:ascii="Arial" w:hAnsi="Arial" w:cs="Arial"/>
          <w:b/>
          <w:bCs/>
          <w:sz w:val="18"/>
          <w:szCs w:val="18"/>
          <w:lang w:val="es-CR" w:eastAsia="es-CR"/>
        </w:rPr>
        <w:lastRenderedPageBreak/>
        <w:t>Banco de Costa Rica</w:t>
      </w:r>
    </w:p>
    <w:p w:rsidR="00EC148C" w:rsidRDefault="00EC148C" w:rsidP="00EC148C">
      <w:pPr>
        <w:spacing w:after="0" w:line="240" w:lineRule="auto"/>
        <w:ind w:left="-426"/>
        <w:jc w:val="left"/>
        <w:rPr>
          <w:rFonts w:ascii="Arial" w:hAnsi="Arial" w:cs="Arial"/>
          <w:b/>
          <w:bCs/>
          <w:sz w:val="18"/>
          <w:szCs w:val="18"/>
          <w:lang w:val="es-CR" w:eastAsia="es-CR"/>
        </w:rPr>
      </w:pPr>
    </w:p>
    <w:p w:rsidR="00EC148C" w:rsidRDefault="00B774AF" w:rsidP="00EC148C">
      <w:pPr>
        <w:spacing w:after="0" w:line="240" w:lineRule="auto"/>
        <w:ind w:left="-426"/>
        <w:jc w:val="left"/>
        <w:rPr>
          <w:rFonts w:ascii="Arial" w:hAnsi="Arial" w:cs="Arial"/>
          <w:color w:val="000000"/>
          <w:sz w:val="18"/>
          <w:szCs w:val="18"/>
          <w:lang w:eastAsia="es-ES"/>
        </w:rPr>
      </w:pPr>
      <w:r w:rsidRPr="00505D4F">
        <w:rPr>
          <w:rFonts w:ascii="Arial" w:hAnsi="Arial" w:cs="Arial"/>
          <w:sz w:val="18"/>
          <w:szCs w:val="18"/>
          <w:lang w:val="es-CR" w:eastAsia="es-CR"/>
        </w:rPr>
        <w:t>Títulos y Valores Nacionales</w:t>
      </w:r>
      <w:r>
        <w:rPr>
          <w:rFonts w:ascii="Arial" w:hAnsi="Arial" w:cs="Arial"/>
          <w:sz w:val="18"/>
          <w:szCs w:val="18"/>
          <w:lang w:val="es-CR" w:eastAsia="es-CR"/>
        </w:rPr>
        <w:tab/>
      </w:r>
      <w:r w:rsidR="00EC148C" w:rsidRPr="00EC148C">
        <w:rPr>
          <w:rFonts w:ascii="Arial" w:hAnsi="Arial" w:cs="Arial"/>
          <w:color w:val="000000"/>
          <w:sz w:val="18"/>
          <w:szCs w:val="18"/>
          <w:lang w:eastAsia="es-ES"/>
        </w:rPr>
        <w:t>¢9.940.700.000,00</w:t>
      </w:r>
    </w:p>
    <w:p w:rsidR="00EC148C" w:rsidRDefault="00EC148C" w:rsidP="00EC148C">
      <w:pPr>
        <w:spacing w:after="0" w:line="240" w:lineRule="auto"/>
        <w:ind w:left="-426"/>
        <w:jc w:val="left"/>
        <w:rPr>
          <w:rFonts w:ascii="Arial" w:hAnsi="Arial" w:cs="Arial"/>
          <w:color w:val="000000"/>
          <w:sz w:val="18"/>
          <w:szCs w:val="18"/>
          <w:lang w:eastAsia="es-ES"/>
        </w:rPr>
      </w:pPr>
    </w:p>
    <w:p w:rsidR="00EC148C" w:rsidRPr="00EC148C" w:rsidRDefault="00FC33B9" w:rsidP="00EC148C">
      <w:pPr>
        <w:spacing w:after="0" w:line="240" w:lineRule="auto"/>
        <w:ind w:left="-426"/>
        <w:jc w:val="left"/>
        <w:rPr>
          <w:rFonts w:ascii="Arial" w:hAnsi="Arial" w:cs="Arial"/>
          <w:color w:val="000000"/>
          <w:sz w:val="18"/>
          <w:szCs w:val="18"/>
          <w:lang w:eastAsia="es-ES"/>
        </w:rPr>
      </w:pPr>
      <w:r>
        <w:rPr>
          <w:rFonts w:ascii="Arial" w:hAnsi="Arial" w:cs="Arial"/>
          <w:sz w:val="18"/>
          <w:szCs w:val="18"/>
          <w:lang w:val="es-CR" w:eastAsia="es-CR"/>
        </w:rPr>
        <w:t>F</w:t>
      </w:r>
      <w:r w:rsidR="00B774AF" w:rsidRPr="00155EF7">
        <w:rPr>
          <w:rFonts w:ascii="Arial" w:hAnsi="Arial" w:cs="Arial"/>
          <w:sz w:val="18"/>
          <w:szCs w:val="18"/>
          <w:lang w:val="es-CR" w:eastAsia="es-CR"/>
        </w:rPr>
        <w:t>ondos de Inversión</w:t>
      </w:r>
      <w:r w:rsidR="00B774AF">
        <w:rPr>
          <w:rFonts w:ascii="Arial" w:hAnsi="Arial" w:cs="Arial"/>
          <w:sz w:val="18"/>
          <w:szCs w:val="18"/>
          <w:lang w:val="es-CR" w:eastAsia="es-CR"/>
        </w:rPr>
        <w:tab/>
      </w:r>
      <w:r w:rsidR="00B774AF">
        <w:rPr>
          <w:rFonts w:ascii="Arial" w:hAnsi="Arial" w:cs="Arial"/>
          <w:sz w:val="18"/>
          <w:szCs w:val="18"/>
          <w:lang w:val="es-CR" w:eastAsia="es-CR"/>
        </w:rPr>
        <w:tab/>
      </w:r>
      <w:r w:rsidR="00EC148C" w:rsidRPr="00EC148C">
        <w:rPr>
          <w:rFonts w:ascii="Arial" w:hAnsi="Arial" w:cs="Arial"/>
          <w:color w:val="000000"/>
          <w:sz w:val="18"/>
          <w:szCs w:val="18"/>
          <w:lang w:eastAsia="es-ES"/>
        </w:rPr>
        <w:t>¢5.187.877.895,82</w:t>
      </w:r>
    </w:p>
    <w:p w:rsidR="00E719C6" w:rsidRPr="00E719C6" w:rsidRDefault="00E719C6" w:rsidP="00E719C6">
      <w:pPr>
        <w:spacing w:after="0" w:line="240" w:lineRule="auto"/>
        <w:ind w:left="-426"/>
        <w:jc w:val="left"/>
        <w:rPr>
          <w:rFonts w:ascii="Arial" w:hAnsi="Arial" w:cs="Arial"/>
          <w:sz w:val="18"/>
          <w:szCs w:val="18"/>
          <w:lang w:eastAsia="es-ES"/>
        </w:rPr>
      </w:pPr>
    </w:p>
    <w:p w:rsidR="0063354F" w:rsidRPr="002E0D2F" w:rsidRDefault="0063354F" w:rsidP="002E0D2F">
      <w:pPr>
        <w:spacing w:after="0" w:line="240" w:lineRule="auto"/>
        <w:ind w:left="-426"/>
        <w:jc w:val="left"/>
        <w:rPr>
          <w:rFonts w:ascii="Arial" w:hAnsi="Arial" w:cs="Arial"/>
          <w:sz w:val="18"/>
          <w:szCs w:val="18"/>
          <w:lang w:eastAsia="es-CR"/>
        </w:rPr>
      </w:pPr>
    </w:p>
    <w:p w:rsidR="00C33C00" w:rsidRDefault="00C33C00" w:rsidP="001F752F">
      <w:pPr>
        <w:ind w:left="-426"/>
        <w:jc w:val="left"/>
        <w:rPr>
          <w:rFonts w:ascii="Arial" w:hAnsi="Arial" w:cs="Arial"/>
          <w:sz w:val="24"/>
          <w:szCs w:val="24"/>
        </w:rPr>
      </w:pPr>
      <w:r>
        <w:rPr>
          <w:rFonts w:ascii="Arial" w:hAnsi="Arial" w:cs="Arial"/>
          <w:sz w:val="24"/>
          <w:szCs w:val="24"/>
        </w:rPr>
        <w:t>Los fondos de inversión se revaloran mensualmente a valor de mercado</w:t>
      </w:r>
    </w:p>
    <w:tbl>
      <w:tblPr>
        <w:tblW w:w="2340" w:type="dxa"/>
        <w:tblCellMar>
          <w:left w:w="70" w:type="dxa"/>
          <w:right w:w="70" w:type="dxa"/>
        </w:tblCellMar>
        <w:tblLook w:val="04A0" w:firstRow="1" w:lastRow="0" w:firstColumn="1" w:lastColumn="0" w:noHBand="0" w:noVBand="1"/>
      </w:tblPr>
      <w:tblGrid>
        <w:gridCol w:w="1140"/>
        <w:gridCol w:w="1200"/>
      </w:tblGrid>
      <w:tr w:rsidR="00EC148C" w:rsidRPr="00EC148C" w:rsidTr="00EC148C">
        <w:trPr>
          <w:trHeight w:val="345"/>
        </w:trPr>
        <w:tc>
          <w:tcPr>
            <w:tcW w:w="1140" w:type="dxa"/>
            <w:tcBorders>
              <w:top w:val="single" w:sz="8" w:space="0" w:color="auto"/>
              <w:left w:val="single" w:sz="8" w:space="0" w:color="auto"/>
              <w:bottom w:val="nil"/>
              <w:right w:val="nil"/>
            </w:tcBorders>
            <w:shd w:val="clear" w:color="000000" w:fill="3EEAC1"/>
            <w:noWrap/>
            <w:vAlign w:val="bottom"/>
            <w:hideMark/>
          </w:tcPr>
          <w:p w:rsidR="00EC148C" w:rsidRPr="00EC148C" w:rsidRDefault="00EC148C" w:rsidP="00EC148C">
            <w:pPr>
              <w:spacing w:after="0" w:line="240" w:lineRule="auto"/>
              <w:jc w:val="right"/>
              <w:rPr>
                <w:rFonts w:ascii="Arial" w:hAnsi="Arial" w:cs="Arial"/>
                <w:b/>
                <w:bCs/>
                <w:sz w:val="16"/>
                <w:szCs w:val="16"/>
                <w:u w:val="single"/>
                <w:lang w:eastAsia="es-ES"/>
              </w:rPr>
            </w:pPr>
            <w:proofErr w:type="spellStart"/>
            <w:r w:rsidRPr="00EC148C">
              <w:rPr>
                <w:rFonts w:ascii="Arial" w:hAnsi="Arial" w:cs="Arial"/>
                <w:b/>
                <w:bCs/>
                <w:sz w:val="16"/>
                <w:szCs w:val="16"/>
                <w:u w:val="single"/>
                <w:lang w:eastAsia="es-ES"/>
              </w:rPr>
              <w:t>Tp</w:t>
            </w:r>
            <w:proofErr w:type="spellEnd"/>
            <w:r w:rsidRPr="00EC148C">
              <w:rPr>
                <w:rFonts w:ascii="Arial" w:hAnsi="Arial" w:cs="Arial"/>
                <w:b/>
                <w:bCs/>
                <w:sz w:val="16"/>
                <w:szCs w:val="16"/>
                <w:u w:val="single"/>
                <w:lang w:eastAsia="es-ES"/>
              </w:rPr>
              <w:t xml:space="preserve">  Cambio  </w:t>
            </w:r>
          </w:p>
        </w:tc>
        <w:tc>
          <w:tcPr>
            <w:tcW w:w="1200" w:type="dxa"/>
            <w:tcBorders>
              <w:top w:val="single" w:sz="8" w:space="0" w:color="auto"/>
              <w:left w:val="nil"/>
              <w:bottom w:val="nil"/>
              <w:right w:val="single" w:sz="8" w:space="0" w:color="auto"/>
            </w:tcBorders>
            <w:shd w:val="clear" w:color="000000" w:fill="3EEAC1"/>
            <w:noWrap/>
            <w:vAlign w:val="bottom"/>
            <w:hideMark/>
          </w:tcPr>
          <w:p w:rsidR="00EC148C" w:rsidRPr="00EC148C" w:rsidRDefault="00EC148C" w:rsidP="00EC148C">
            <w:pPr>
              <w:spacing w:after="0" w:line="240" w:lineRule="auto"/>
              <w:jc w:val="center"/>
              <w:rPr>
                <w:rFonts w:ascii="Arial" w:hAnsi="Arial" w:cs="Arial"/>
                <w:b/>
                <w:bCs/>
                <w:sz w:val="16"/>
                <w:szCs w:val="16"/>
                <w:u w:val="single"/>
                <w:lang w:eastAsia="es-ES"/>
              </w:rPr>
            </w:pPr>
            <w:r w:rsidRPr="00EC148C">
              <w:rPr>
                <w:rFonts w:ascii="Arial" w:hAnsi="Arial" w:cs="Arial"/>
                <w:b/>
                <w:bCs/>
                <w:sz w:val="16"/>
                <w:szCs w:val="16"/>
                <w:u w:val="single"/>
                <w:lang w:eastAsia="es-ES"/>
              </w:rPr>
              <w:t>31/01/2019</w:t>
            </w:r>
          </w:p>
        </w:tc>
      </w:tr>
      <w:tr w:rsidR="00EC148C" w:rsidRPr="00EC148C" w:rsidTr="00EC148C">
        <w:trPr>
          <w:trHeight w:val="255"/>
        </w:trPr>
        <w:tc>
          <w:tcPr>
            <w:tcW w:w="1140" w:type="dxa"/>
            <w:tcBorders>
              <w:top w:val="nil"/>
              <w:left w:val="single" w:sz="8" w:space="0" w:color="auto"/>
              <w:bottom w:val="nil"/>
              <w:right w:val="nil"/>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xml:space="preserve"> Dólar </w:t>
            </w:r>
          </w:p>
        </w:tc>
        <w:tc>
          <w:tcPr>
            <w:tcW w:w="1200" w:type="dxa"/>
            <w:tcBorders>
              <w:top w:val="nil"/>
              <w:left w:val="nil"/>
              <w:bottom w:val="nil"/>
              <w:right w:val="single" w:sz="8" w:space="0" w:color="auto"/>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xml:space="preserve">           612,14 </w:t>
            </w:r>
          </w:p>
        </w:tc>
      </w:tr>
      <w:tr w:rsidR="00EC148C" w:rsidRPr="00EC148C" w:rsidTr="00EC148C">
        <w:trPr>
          <w:trHeight w:val="270"/>
        </w:trPr>
        <w:tc>
          <w:tcPr>
            <w:tcW w:w="1140" w:type="dxa"/>
            <w:tcBorders>
              <w:top w:val="nil"/>
              <w:left w:val="single" w:sz="8" w:space="0" w:color="auto"/>
              <w:bottom w:val="nil"/>
              <w:right w:val="nil"/>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w:t>
            </w:r>
          </w:p>
        </w:tc>
        <w:tc>
          <w:tcPr>
            <w:tcW w:w="1200" w:type="dxa"/>
            <w:tcBorders>
              <w:top w:val="nil"/>
              <w:left w:val="nil"/>
              <w:bottom w:val="nil"/>
              <w:right w:val="single" w:sz="8" w:space="0" w:color="auto"/>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w:t>
            </w:r>
          </w:p>
        </w:tc>
      </w:tr>
      <w:tr w:rsidR="00EC148C" w:rsidRPr="00EC148C" w:rsidTr="00EC148C">
        <w:trPr>
          <w:trHeight w:val="270"/>
        </w:trPr>
        <w:tc>
          <w:tcPr>
            <w:tcW w:w="1140" w:type="dxa"/>
            <w:tcBorders>
              <w:top w:val="nil"/>
              <w:left w:val="single" w:sz="8" w:space="0" w:color="auto"/>
              <w:bottom w:val="nil"/>
              <w:right w:val="nil"/>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xml:space="preserve"> Euros </w:t>
            </w:r>
          </w:p>
        </w:tc>
        <w:tc>
          <w:tcPr>
            <w:tcW w:w="1200" w:type="dxa"/>
            <w:tcBorders>
              <w:top w:val="nil"/>
              <w:left w:val="nil"/>
              <w:bottom w:val="nil"/>
              <w:right w:val="single" w:sz="8" w:space="0" w:color="auto"/>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xml:space="preserve">           1,1494 </w:t>
            </w:r>
          </w:p>
        </w:tc>
      </w:tr>
      <w:tr w:rsidR="00EC148C" w:rsidRPr="00EC148C" w:rsidTr="00EC148C">
        <w:trPr>
          <w:trHeight w:val="270"/>
        </w:trPr>
        <w:tc>
          <w:tcPr>
            <w:tcW w:w="1140" w:type="dxa"/>
            <w:tcBorders>
              <w:top w:val="nil"/>
              <w:left w:val="single" w:sz="8" w:space="0" w:color="auto"/>
              <w:bottom w:val="single" w:sz="8" w:space="0" w:color="auto"/>
              <w:right w:val="nil"/>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proofErr w:type="spellStart"/>
            <w:r w:rsidRPr="00EC148C">
              <w:rPr>
                <w:rFonts w:ascii="Arial" w:hAnsi="Arial" w:cs="Arial"/>
                <w:sz w:val="18"/>
                <w:szCs w:val="18"/>
                <w:lang w:eastAsia="es-ES"/>
              </w:rPr>
              <w:t>Un.Des</w:t>
            </w:r>
            <w:proofErr w:type="spellEnd"/>
            <w:r w:rsidRPr="00EC148C">
              <w:rPr>
                <w:rFonts w:ascii="Arial" w:hAnsi="Arial" w:cs="Arial"/>
                <w:sz w:val="18"/>
                <w:szCs w:val="18"/>
                <w:lang w:eastAsia="es-ES"/>
              </w:rPr>
              <w:t>.</w:t>
            </w:r>
          </w:p>
        </w:tc>
        <w:tc>
          <w:tcPr>
            <w:tcW w:w="1200" w:type="dxa"/>
            <w:tcBorders>
              <w:top w:val="nil"/>
              <w:left w:val="nil"/>
              <w:bottom w:val="single" w:sz="8" w:space="0" w:color="auto"/>
              <w:right w:val="single" w:sz="8" w:space="0" w:color="auto"/>
            </w:tcBorders>
            <w:shd w:val="clear" w:color="000000" w:fill="3EEAC1"/>
            <w:noWrap/>
            <w:vAlign w:val="bottom"/>
            <w:hideMark/>
          </w:tcPr>
          <w:p w:rsidR="00EC148C" w:rsidRPr="00EC148C" w:rsidRDefault="00EC148C" w:rsidP="00EC148C">
            <w:pPr>
              <w:spacing w:after="0" w:line="240" w:lineRule="auto"/>
              <w:jc w:val="left"/>
              <w:rPr>
                <w:rFonts w:ascii="Arial" w:hAnsi="Arial" w:cs="Arial"/>
                <w:sz w:val="18"/>
                <w:szCs w:val="18"/>
                <w:lang w:eastAsia="es-ES"/>
              </w:rPr>
            </w:pPr>
            <w:r w:rsidRPr="00EC148C">
              <w:rPr>
                <w:rFonts w:ascii="Arial" w:hAnsi="Arial" w:cs="Arial"/>
                <w:sz w:val="18"/>
                <w:szCs w:val="18"/>
                <w:lang w:eastAsia="es-ES"/>
              </w:rPr>
              <w:t xml:space="preserve">         902,417 </w:t>
            </w:r>
          </w:p>
        </w:tc>
      </w:tr>
    </w:tbl>
    <w:p w:rsidR="002E0D2F" w:rsidRDefault="002E0D2F" w:rsidP="001F752F">
      <w:pPr>
        <w:ind w:left="-426"/>
        <w:jc w:val="left"/>
        <w:rPr>
          <w:rFonts w:ascii="Arial" w:hAnsi="Arial" w:cs="Arial"/>
          <w:sz w:val="24"/>
          <w:szCs w:val="24"/>
        </w:rPr>
      </w:pPr>
    </w:p>
    <w:p w:rsidR="003B62BE" w:rsidRDefault="003B62BE" w:rsidP="00740D23">
      <w:pPr>
        <w:tabs>
          <w:tab w:val="num" w:pos="2160"/>
        </w:tabs>
        <w:spacing w:after="0" w:line="240" w:lineRule="auto"/>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9A6484">
        <w:rPr>
          <w:rFonts w:ascii="Arial" w:hAnsi="Arial" w:cs="Arial"/>
          <w:b/>
          <w:bCs/>
          <w:sz w:val="24"/>
          <w:szCs w:val="24"/>
          <w:lang w:eastAsia="es-ES"/>
        </w:rPr>
        <w:t>9</w:t>
      </w:r>
      <w:r w:rsidRPr="00147A18">
        <w:rPr>
          <w:rFonts w:ascii="Arial" w:hAnsi="Arial" w:cs="Arial"/>
          <w:b/>
          <w:bCs/>
          <w:sz w:val="24"/>
          <w:szCs w:val="24"/>
          <w:lang w:eastAsia="es-ES"/>
        </w:rPr>
        <w:t xml:space="preserve">  Maquinaria, Equipo y Mobiliario</w:t>
      </w:r>
    </w:p>
    <w:p w:rsidR="002E2DEE" w:rsidRPr="00147A18" w:rsidRDefault="002E2DEE" w:rsidP="00740D23">
      <w:pPr>
        <w:tabs>
          <w:tab w:val="num" w:pos="2160"/>
        </w:tabs>
        <w:spacing w:after="0" w:line="240" w:lineRule="auto"/>
        <w:ind w:left="-426"/>
        <w:rPr>
          <w:rFonts w:ascii="Arial" w:hAnsi="Arial" w:cs="Arial"/>
          <w:b/>
          <w:bCs/>
          <w:sz w:val="24"/>
          <w:szCs w:val="24"/>
          <w:lang w:eastAsia="es-ES"/>
        </w:rPr>
      </w:pP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inmuebles, mobiliario y equipo se encuentran valuados de la siguiente forma: las adquisiciones al costo, las donaciones a valor de la factura, a su valor razonable previa investigación o por el costo asignado por un perito especialista en la materia a la fecha de la donación.</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bienes propiedad, planta y equipo, renovaciones y mejoras importantes que aumenta la vida útil de un activo, se capitalizan.</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De acuerdo con el sistema contable-presupuestario de la Institución las compras de activos fijos se registran en la cuenta de inversión bienes duraderos, cuando se afecta el presupuesto, no obstante, la contabilidad patrimonial los capitaliza reflejando su efecto en la cuenta patrimonial “Inversión de activos fijos”.</w:t>
      </w:r>
    </w:p>
    <w:p w:rsidR="006130CE" w:rsidRPr="00C02FB5" w:rsidRDefault="006130CE"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 xml:space="preserve">Como criterios de capitalización de los activos fijos, la Universidad  capitaliza los activos cuyos costos sean iguales o superiores al 25% del monto del salario base del oficinista 1 del poder judicial, tal como lo establece el anexo No.1, punto 2.1. </w:t>
      </w:r>
      <w:proofErr w:type="gramStart"/>
      <w:r w:rsidRPr="00C02FB5">
        <w:rPr>
          <w:rFonts w:ascii="Arial" w:hAnsi="Arial" w:cs="Arial"/>
          <w:bCs/>
          <w:color w:val="000000"/>
          <w:sz w:val="24"/>
          <w:szCs w:val="24"/>
          <w:lang w:eastAsia="es-ES"/>
        </w:rPr>
        <w:t>de</w:t>
      </w:r>
      <w:proofErr w:type="gramEnd"/>
      <w:r w:rsidRPr="00C02FB5">
        <w:rPr>
          <w:rFonts w:ascii="Arial" w:hAnsi="Arial" w:cs="Arial"/>
          <w:bCs/>
          <w:color w:val="000000"/>
          <w:sz w:val="24"/>
          <w:szCs w:val="24"/>
          <w:lang w:eastAsia="es-ES"/>
        </w:rPr>
        <w:t xml:space="preserve"> la Ley del Impuesto sobre la renta y su reglamento.</w:t>
      </w:r>
    </w:p>
    <w:p w:rsidR="006130CE" w:rsidRPr="00C02FB5" w:rsidRDefault="006130CE" w:rsidP="001F752F">
      <w:pPr>
        <w:shd w:val="clear" w:color="auto" w:fill="FFFFFF"/>
        <w:spacing w:after="0"/>
        <w:ind w:left="-426"/>
        <w:jc w:val="left"/>
        <w:outlineLvl w:val="2"/>
        <w:rPr>
          <w:rFonts w:ascii="Arial" w:hAnsi="Arial" w:cs="Arial"/>
          <w:b/>
          <w:bCs/>
          <w:color w:val="0070C0"/>
          <w:sz w:val="24"/>
          <w:szCs w:val="24"/>
          <w:lang w:eastAsia="es-ES"/>
        </w:rPr>
      </w:pPr>
    </w:p>
    <w:bookmarkStart w:id="17" w:name="_MON_1419861561"/>
    <w:bookmarkEnd w:id="17"/>
    <w:p w:rsidR="00EC148C" w:rsidRDefault="00DA4E24" w:rsidP="001F752F">
      <w:pPr>
        <w:ind w:left="-426"/>
        <w:rPr>
          <w:rFonts w:ascii="Arial" w:hAnsi="Arial" w:cs="Arial"/>
          <w:sz w:val="24"/>
          <w:szCs w:val="24"/>
        </w:rPr>
      </w:pPr>
      <w:r w:rsidRPr="00C02FB5">
        <w:rPr>
          <w:rFonts w:ascii="Arial" w:hAnsi="Arial" w:cs="Arial"/>
          <w:sz w:val="24"/>
          <w:szCs w:val="24"/>
        </w:rPr>
        <w:object w:dxaOrig="10187" w:dyaOrig="1036">
          <v:shape id="_x0000_i1031" type="#_x0000_t75" style="width:510pt;height:51pt" o:ole="">
            <v:imagedata r:id="rId20" o:title=""/>
          </v:shape>
          <o:OLEObject Type="Embed" ProgID="Excel.Sheet.8" ShapeID="_x0000_i1031" DrawAspect="Content" ObjectID="_1611577078" r:id="rId21"/>
        </w:object>
      </w:r>
    </w:p>
    <w:tbl>
      <w:tblPr>
        <w:tblW w:w="7220" w:type="dxa"/>
        <w:tblCellMar>
          <w:left w:w="70" w:type="dxa"/>
          <w:right w:w="70" w:type="dxa"/>
        </w:tblCellMar>
        <w:tblLook w:val="04A0" w:firstRow="1" w:lastRow="0" w:firstColumn="1" w:lastColumn="0" w:noHBand="0" w:noVBand="1"/>
      </w:tblPr>
      <w:tblGrid>
        <w:gridCol w:w="3580"/>
        <w:gridCol w:w="1820"/>
        <w:gridCol w:w="1820"/>
      </w:tblGrid>
      <w:tr w:rsidR="00EC148C" w:rsidRPr="00EC148C" w:rsidTr="00EC148C">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EC148C" w:rsidRPr="00EC148C" w:rsidRDefault="00EC148C" w:rsidP="00EC148C">
            <w:pPr>
              <w:spacing w:after="0" w:line="240" w:lineRule="auto"/>
              <w:jc w:val="center"/>
              <w:rPr>
                <w:color w:val="000000"/>
                <w:lang w:eastAsia="es-ES"/>
              </w:rPr>
            </w:pPr>
            <w:r w:rsidRPr="00EC148C">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EC148C" w:rsidRPr="00EC148C" w:rsidRDefault="00EC148C" w:rsidP="00EC148C">
            <w:pPr>
              <w:spacing w:after="0" w:line="240" w:lineRule="auto"/>
              <w:jc w:val="center"/>
              <w:rPr>
                <w:color w:val="000000"/>
                <w:lang w:eastAsia="es-ES"/>
              </w:rPr>
            </w:pPr>
            <w:r w:rsidRPr="00EC148C">
              <w:rPr>
                <w:color w:val="000000"/>
                <w:lang w:eastAsia="es-ES"/>
              </w:rPr>
              <w:t>Diciembre 2018</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MAQUINARIA Y EQUIPO DE PRODUC.</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1.961.545,35</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1.897.233,90</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EQUIPO DE TRANSPORTE</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5.629.316,76</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5.624.812,78</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EQUIPO DE COMUNICACIÓN</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5.674.101,45</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5.637.532,01</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EQUIPO Y MOBILIARIO DE OFICINA</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5.008.045,25</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4.987.394,62</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EQUIPO Y PROGRAMAS COMPUTO</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8.335.743,96</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8.295.272,75</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lastRenderedPageBreak/>
              <w:t>EQUIPO SAN</w:t>
            </w:r>
            <w:proofErr w:type="gramStart"/>
            <w:r w:rsidRPr="00EC148C">
              <w:rPr>
                <w:color w:val="000000"/>
                <w:lang w:eastAsia="es-ES"/>
              </w:rPr>
              <w:t>,LABORAT</w:t>
            </w:r>
            <w:proofErr w:type="gramEnd"/>
            <w:r w:rsidRPr="00EC148C">
              <w:rPr>
                <w:color w:val="000000"/>
                <w:lang w:eastAsia="es-ES"/>
              </w:rPr>
              <w:t xml:space="preserve"> E INVESTIG.</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12.838.415,32</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12.746.447,80</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EQ. Y MOBIL. EDUC, DEP. Y RECREATIV</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617.077,84</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612.037,86</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MAQUINARIA Y EQUIPO DIVERSO</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3.874.319,86</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3.797.952,58</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OTROS BIENES DURADEROS</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17.082,97</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17.082,97</w:t>
            </w:r>
          </w:p>
        </w:tc>
      </w:tr>
      <w:tr w:rsidR="00EC148C" w:rsidRPr="00EC148C" w:rsidTr="00EC148C">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left"/>
              <w:rPr>
                <w:color w:val="000000"/>
                <w:lang w:eastAsia="es-ES"/>
              </w:rPr>
            </w:pPr>
            <w:r w:rsidRPr="00EC148C">
              <w:rPr>
                <w:color w:val="000000"/>
                <w:lang w:eastAsia="es-ES"/>
              </w:rPr>
              <w:t>TOTAL</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43.955.648,78</w:t>
            </w:r>
          </w:p>
        </w:tc>
        <w:tc>
          <w:tcPr>
            <w:tcW w:w="1820" w:type="dxa"/>
            <w:tcBorders>
              <w:top w:val="nil"/>
              <w:left w:val="nil"/>
              <w:bottom w:val="single" w:sz="4" w:space="0" w:color="auto"/>
              <w:right w:val="single" w:sz="4" w:space="0" w:color="auto"/>
            </w:tcBorders>
            <w:shd w:val="clear" w:color="auto" w:fill="auto"/>
            <w:noWrap/>
            <w:vAlign w:val="bottom"/>
            <w:hideMark/>
          </w:tcPr>
          <w:p w:rsidR="00EC148C" w:rsidRPr="00EC148C" w:rsidRDefault="00EC148C" w:rsidP="00EC148C">
            <w:pPr>
              <w:spacing w:after="0" w:line="240" w:lineRule="auto"/>
              <w:jc w:val="right"/>
              <w:rPr>
                <w:color w:val="000000"/>
                <w:lang w:eastAsia="es-ES"/>
              </w:rPr>
            </w:pPr>
            <w:r w:rsidRPr="00EC148C">
              <w:rPr>
                <w:color w:val="000000"/>
                <w:lang w:eastAsia="es-ES"/>
              </w:rPr>
              <w:t>43.615.767,26</w:t>
            </w:r>
          </w:p>
        </w:tc>
      </w:tr>
    </w:tbl>
    <w:p w:rsidR="003B62BE" w:rsidRDefault="003B62BE" w:rsidP="001F752F">
      <w:pPr>
        <w:ind w:left="-426"/>
        <w:rPr>
          <w:rFonts w:ascii="Arial" w:hAnsi="Arial" w:cs="Arial"/>
          <w:sz w:val="24"/>
          <w:szCs w:val="24"/>
        </w:rPr>
      </w:pPr>
    </w:p>
    <w:p w:rsidR="003B62BE"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NOTA No. 1</w:t>
      </w:r>
      <w:r w:rsidR="009D4301">
        <w:rPr>
          <w:rFonts w:ascii="Arial" w:hAnsi="Arial" w:cs="Arial"/>
          <w:b/>
          <w:bCs/>
          <w:sz w:val="24"/>
          <w:szCs w:val="24"/>
          <w:lang w:eastAsia="es-ES"/>
        </w:rPr>
        <w:t>0</w:t>
      </w:r>
      <w:r w:rsidRPr="00147A18">
        <w:rPr>
          <w:rFonts w:ascii="Arial" w:hAnsi="Arial" w:cs="Arial"/>
          <w:b/>
          <w:bCs/>
          <w:sz w:val="24"/>
          <w:szCs w:val="24"/>
          <w:lang w:eastAsia="es-ES"/>
        </w:rPr>
        <w:t xml:space="preserve">  Depreciación Acumulada Maquinaria, Equipo y Mobiliario</w:t>
      </w:r>
    </w:p>
    <w:p w:rsidR="002F3FB7" w:rsidRPr="002F3FB7" w:rsidRDefault="002F3FB7" w:rsidP="001F752F">
      <w:pPr>
        <w:spacing w:line="240" w:lineRule="auto"/>
        <w:ind w:left="-426"/>
        <w:rPr>
          <w:rFonts w:ascii="Arial" w:hAnsi="Arial" w:cs="Arial"/>
          <w:sz w:val="24"/>
          <w:szCs w:val="24"/>
        </w:rPr>
      </w:pPr>
      <w:r w:rsidRPr="002F3FB7">
        <w:rPr>
          <w:rFonts w:ascii="Arial" w:hAnsi="Arial" w:cs="Arial"/>
          <w:sz w:val="24"/>
          <w:szCs w:val="24"/>
        </w:rPr>
        <w:t>El método utilizado para registrar los gastos de depreciación es de lín</w:t>
      </w:r>
      <w:r w:rsidR="0022489D">
        <w:rPr>
          <w:rFonts w:ascii="Arial" w:hAnsi="Arial" w:cs="Arial"/>
          <w:sz w:val="24"/>
          <w:szCs w:val="24"/>
        </w:rPr>
        <w:t xml:space="preserve">ea recta, y la vida estimada, </w:t>
      </w:r>
      <w:r w:rsidRPr="002F3FB7">
        <w:rPr>
          <w:rFonts w:ascii="Arial" w:hAnsi="Arial" w:cs="Arial"/>
          <w:sz w:val="24"/>
          <w:szCs w:val="24"/>
        </w:rPr>
        <w:t xml:space="preserve"> la establece la directriz CN001-2009 “Valoración, revaluación, depreciación de Propiedad, planta y eq</w:t>
      </w:r>
      <w:r w:rsidR="00EC61F5">
        <w:rPr>
          <w:rFonts w:ascii="Arial" w:hAnsi="Arial" w:cs="Arial"/>
          <w:sz w:val="24"/>
          <w:szCs w:val="24"/>
        </w:rPr>
        <w:t>uipo” del 23 de noviembre 2009, se aplica de la siguiente manera:</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Maquinaria y equipo, equipo de transporte, equipo de comunicación, equipo y mobiliario de oficina, equipo sanitario y de laboratorio, equipo y mobiliario educación y recreativo y maquinaria y equipo diverso, se le aplica una vida útil de 10 años con un valor de rescate del 10%.</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Equipo y programas de cómputo, una vida útil de 5 años y no se le aplica valor de rescate.</w:t>
      </w:r>
    </w:p>
    <w:p w:rsidR="00490806" w:rsidRPr="00C02FB5" w:rsidRDefault="00490806" w:rsidP="001F752F">
      <w:pPr>
        <w:pStyle w:val="Prrafodelista"/>
        <w:numPr>
          <w:ilvl w:val="0"/>
          <w:numId w:val="3"/>
        </w:numPr>
        <w:spacing w:after="200"/>
        <w:ind w:left="-426" w:firstLine="0"/>
        <w:jc w:val="both"/>
        <w:rPr>
          <w:rFonts w:ascii="Arial" w:hAnsi="Arial" w:cs="Arial"/>
          <w:sz w:val="24"/>
          <w:szCs w:val="24"/>
        </w:rPr>
      </w:pPr>
      <w:r w:rsidRPr="00C02FB5">
        <w:rPr>
          <w:rFonts w:ascii="Arial" w:hAnsi="Arial" w:cs="Arial"/>
          <w:sz w:val="24"/>
          <w:szCs w:val="24"/>
        </w:rPr>
        <w:t>Edificios se le aplica una vida útil de 50 años</w:t>
      </w:r>
    </w:p>
    <w:bookmarkStart w:id="18" w:name="_MON_1419861757"/>
    <w:bookmarkEnd w:id="18"/>
    <w:p w:rsidR="003B62BE" w:rsidRPr="00C02FB5" w:rsidRDefault="00DA4E24" w:rsidP="001F752F">
      <w:pPr>
        <w:ind w:left="-426"/>
        <w:rPr>
          <w:rFonts w:ascii="Arial" w:hAnsi="Arial" w:cs="Arial"/>
          <w:sz w:val="24"/>
          <w:szCs w:val="24"/>
        </w:rPr>
      </w:pPr>
      <w:r w:rsidRPr="00C02FB5">
        <w:rPr>
          <w:rFonts w:ascii="Arial" w:hAnsi="Arial" w:cs="Arial"/>
          <w:sz w:val="24"/>
          <w:szCs w:val="24"/>
        </w:rPr>
        <w:object w:dxaOrig="10187" w:dyaOrig="1036">
          <v:shape id="_x0000_i1032" type="#_x0000_t75" style="width:510pt;height:51pt" o:ole="">
            <v:imagedata r:id="rId22" o:title=""/>
          </v:shape>
          <o:OLEObject Type="Embed" ProgID="Excel.Sheet.8" ShapeID="_x0000_i1032" DrawAspect="Content" ObjectID="_1611577079" r:id="rId23"/>
        </w:object>
      </w:r>
    </w:p>
    <w:p w:rsidR="003B62BE" w:rsidRPr="00147A18"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933C4A">
        <w:rPr>
          <w:rFonts w:ascii="Arial" w:hAnsi="Arial" w:cs="Arial"/>
          <w:b/>
          <w:bCs/>
          <w:sz w:val="24"/>
          <w:szCs w:val="24"/>
          <w:lang w:eastAsia="es-ES"/>
        </w:rPr>
        <w:t>11</w:t>
      </w:r>
      <w:r w:rsidRPr="00147A18">
        <w:rPr>
          <w:rFonts w:ascii="Arial" w:hAnsi="Arial" w:cs="Arial"/>
          <w:b/>
          <w:bCs/>
          <w:sz w:val="24"/>
          <w:szCs w:val="24"/>
          <w:lang w:eastAsia="es-ES"/>
        </w:rPr>
        <w:t xml:space="preserve">  Construcciones, Adiciones y Mejoras</w:t>
      </w:r>
    </w:p>
    <w:p w:rsidR="00854352" w:rsidRPr="00C02FB5" w:rsidRDefault="00854352"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Los desembolsos realizados por concepto de construcciones son registrados en la cuenta  transitoria llamada  “Obras en Proceso”  al concluirse la obra se emite una resolución donde indica la fecha de la recepción de la obra, es en este momento cuando se realiza el traslado contable a la cuenta de “Edificios”</w:t>
      </w:r>
      <w:r w:rsidR="00201B60">
        <w:rPr>
          <w:rFonts w:ascii="Arial" w:hAnsi="Arial" w:cs="Arial"/>
          <w:bCs/>
          <w:color w:val="000000"/>
          <w:sz w:val="24"/>
          <w:szCs w:val="24"/>
          <w:lang w:eastAsia="es-ES"/>
        </w:rPr>
        <w:t>.</w:t>
      </w:r>
    </w:p>
    <w:p w:rsidR="00854352" w:rsidRPr="00C02FB5" w:rsidRDefault="00854352" w:rsidP="001F752F">
      <w:pPr>
        <w:spacing w:line="240" w:lineRule="auto"/>
        <w:ind w:left="-426"/>
        <w:rPr>
          <w:rFonts w:ascii="Arial" w:hAnsi="Arial" w:cs="Arial"/>
          <w:sz w:val="24"/>
          <w:szCs w:val="24"/>
        </w:rPr>
      </w:pPr>
      <w:r w:rsidRPr="00C02FB5">
        <w:rPr>
          <w:rFonts w:ascii="Arial" w:hAnsi="Arial" w:cs="Arial"/>
          <w:sz w:val="24"/>
          <w:szCs w:val="24"/>
        </w:rPr>
        <w:t>Los desembolsos por adiciones y mejoras se registran en la cuenta adiciones y mejoras una vez concluida se capitalizan al edificio correspondiente.</w:t>
      </w:r>
    </w:p>
    <w:bookmarkStart w:id="19" w:name="_MON_1419861864"/>
    <w:bookmarkEnd w:id="19"/>
    <w:p w:rsidR="000F7BEB" w:rsidRDefault="00DA4E24" w:rsidP="001F752F">
      <w:pPr>
        <w:ind w:left="-426"/>
        <w:rPr>
          <w:rFonts w:ascii="Arial" w:hAnsi="Arial" w:cs="Arial"/>
          <w:b/>
          <w:bCs/>
          <w:color w:val="000000"/>
          <w:sz w:val="24"/>
          <w:szCs w:val="24"/>
          <w:lang w:eastAsia="es-ES"/>
        </w:rPr>
      </w:pPr>
      <w:r w:rsidRPr="00C02FB5">
        <w:rPr>
          <w:rFonts w:ascii="Arial" w:hAnsi="Arial" w:cs="Arial"/>
          <w:b/>
          <w:bCs/>
          <w:color w:val="000000"/>
          <w:sz w:val="24"/>
          <w:szCs w:val="24"/>
          <w:lang w:eastAsia="es-ES"/>
        </w:rPr>
        <w:object w:dxaOrig="10187" w:dyaOrig="1036">
          <v:shape id="_x0000_i1033" type="#_x0000_t75" style="width:510pt;height:51pt" o:ole="">
            <v:imagedata r:id="rId24" o:title=""/>
          </v:shape>
          <o:OLEObject Type="Embed" ProgID="Excel.Sheet.8" ShapeID="_x0000_i1033" DrawAspect="Content" ObjectID="_1611577080" r:id="rId25"/>
        </w:object>
      </w:r>
    </w:p>
    <w:p w:rsidR="006B42BC" w:rsidRDefault="00CD1F54" w:rsidP="001F752F">
      <w:pPr>
        <w:spacing w:line="240" w:lineRule="auto"/>
        <w:ind w:left="-426"/>
        <w:rPr>
          <w:rFonts w:ascii="Arial" w:hAnsi="Arial" w:cs="Arial"/>
          <w:bCs/>
          <w:color w:val="000000"/>
          <w:sz w:val="24"/>
          <w:szCs w:val="24"/>
          <w:lang w:eastAsia="es-ES"/>
        </w:rPr>
      </w:pPr>
      <w:r>
        <w:rPr>
          <w:rFonts w:ascii="Arial" w:hAnsi="Arial" w:cs="Arial"/>
          <w:bCs/>
          <w:color w:val="000000"/>
          <w:sz w:val="24"/>
          <w:szCs w:val="24"/>
          <w:lang w:eastAsia="es-ES"/>
        </w:rPr>
        <w:t>L</w:t>
      </w:r>
      <w:r w:rsidR="000F7BEB">
        <w:rPr>
          <w:rFonts w:ascii="Arial" w:hAnsi="Arial" w:cs="Arial"/>
          <w:bCs/>
          <w:color w:val="000000"/>
          <w:sz w:val="24"/>
          <w:szCs w:val="24"/>
          <w:lang w:eastAsia="es-ES"/>
        </w:rPr>
        <w:t>a variación</w:t>
      </w:r>
      <w:r>
        <w:rPr>
          <w:rFonts w:ascii="Arial" w:hAnsi="Arial" w:cs="Arial"/>
          <w:bCs/>
          <w:color w:val="000000"/>
          <w:sz w:val="24"/>
          <w:szCs w:val="24"/>
          <w:lang w:eastAsia="es-ES"/>
        </w:rPr>
        <w:t xml:space="preserve">, corresponde a la </w:t>
      </w:r>
      <w:r w:rsidR="00D60A8B">
        <w:rPr>
          <w:rFonts w:ascii="Arial" w:hAnsi="Arial" w:cs="Arial"/>
          <w:bCs/>
          <w:color w:val="000000"/>
          <w:sz w:val="24"/>
          <w:szCs w:val="24"/>
          <w:lang w:eastAsia="es-ES"/>
        </w:rPr>
        <w:t xml:space="preserve">construcción de los nuevos edificios financiados con el Proyecto de Mejoramiento de Educación Superior, financiado por el </w:t>
      </w:r>
      <w:r w:rsidR="00D11C35">
        <w:rPr>
          <w:rFonts w:ascii="Arial" w:hAnsi="Arial" w:cs="Arial"/>
          <w:bCs/>
          <w:color w:val="000000"/>
          <w:sz w:val="24"/>
          <w:szCs w:val="24"/>
          <w:lang w:eastAsia="es-ES"/>
        </w:rPr>
        <w:t>Ministerio de Hacienda-Banco Mundial</w:t>
      </w:r>
    </w:p>
    <w:p w:rsidR="00897671" w:rsidRDefault="00897671" w:rsidP="001F752F">
      <w:pPr>
        <w:spacing w:line="240" w:lineRule="auto"/>
        <w:ind w:left="-426"/>
        <w:jc w:val="left"/>
        <w:rPr>
          <w:rFonts w:ascii="Arial" w:hAnsi="Arial" w:cs="Arial"/>
          <w:b/>
          <w:bCs/>
          <w:sz w:val="24"/>
          <w:szCs w:val="24"/>
          <w:lang w:eastAsia="es-ES"/>
        </w:rPr>
      </w:pPr>
    </w:p>
    <w:p w:rsidR="00523563" w:rsidRDefault="00773C39" w:rsidP="001F752F">
      <w:pPr>
        <w:spacing w:line="240" w:lineRule="auto"/>
        <w:ind w:left="-426"/>
        <w:jc w:val="left"/>
      </w:pPr>
      <w:r>
        <w:rPr>
          <w:rFonts w:ascii="Arial" w:hAnsi="Arial" w:cs="Arial"/>
          <w:b/>
          <w:bCs/>
          <w:sz w:val="24"/>
          <w:szCs w:val="24"/>
          <w:lang w:eastAsia="es-ES"/>
        </w:rPr>
        <w:lastRenderedPageBreak/>
        <w:t>NOTA No.</w:t>
      </w:r>
      <w:r w:rsidR="005C5124">
        <w:rPr>
          <w:rFonts w:ascii="Arial" w:hAnsi="Arial" w:cs="Arial"/>
          <w:b/>
          <w:bCs/>
          <w:sz w:val="24"/>
          <w:szCs w:val="24"/>
          <w:lang w:eastAsia="es-ES"/>
        </w:rPr>
        <w:t>12</w:t>
      </w:r>
      <w:r w:rsidR="00466583">
        <w:rPr>
          <w:rFonts w:ascii="Arial" w:hAnsi="Arial" w:cs="Arial"/>
          <w:b/>
          <w:bCs/>
          <w:sz w:val="24"/>
          <w:szCs w:val="24"/>
          <w:lang w:eastAsia="es-ES"/>
        </w:rPr>
        <w:t xml:space="preserve"> </w:t>
      </w:r>
      <w:r w:rsidRPr="00147A18">
        <w:rPr>
          <w:rFonts w:ascii="Arial" w:hAnsi="Arial" w:cs="Arial"/>
          <w:b/>
          <w:bCs/>
          <w:sz w:val="24"/>
          <w:szCs w:val="24"/>
          <w:lang w:eastAsia="es-ES"/>
        </w:rPr>
        <w:t>Terrenos</w:t>
      </w:r>
      <w:r w:rsidRPr="00C02FB5">
        <w:t xml:space="preserve"> </w:t>
      </w:r>
    </w:p>
    <w:p w:rsidR="007229DF" w:rsidRPr="00C02FB5" w:rsidRDefault="007229DF"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Son registrados al valor de adquisición del bien si son comprados, si son terrenos  donados se registran al valor que indique la resolución de recepción de la donación.</w:t>
      </w:r>
    </w:p>
    <w:bookmarkStart w:id="20" w:name="_MON_1419862227"/>
    <w:bookmarkEnd w:id="20"/>
    <w:p w:rsidR="00466583" w:rsidRDefault="00DA4E24" w:rsidP="001F752F">
      <w:pPr>
        <w:spacing w:line="240" w:lineRule="auto"/>
        <w:ind w:left="-426"/>
        <w:rPr>
          <w:rFonts w:ascii="Arial" w:hAnsi="Arial" w:cs="Arial"/>
          <w:sz w:val="24"/>
          <w:szCs w:val="24"/>
        </w:rPr>
      </w:pPr>
      <w:r w:rsidRPr="00C02FB5">
        <w:rPr>
          <w:rFonts w:ascii="Arial" w:hAnsi="Arial" w:cs="Arial"/>
          <w:sz w:val="24"/>
          <w:szCs w:val="24"/>
        </w:rPr>
        <w:object w:dxaOrig="10187" w:dyaOrig="1093">
          <v:shape id="_x0000_i1034" type="#_x0000_t75" style="width:510pt;height:54.75pt" o:ole="">
            <v:imagedata r:id="rId26" o:title=""/>
          </v:shape>
          <o:OLEObject Type="Embed" ProgID="Excel.Sheet.8" ShapeID="_x0000_i1034" DrawAspect="Content" ObjectID="_1611577081" r:id="rId27"/>
        </w:object>
      </w:r>
    </w:p>
    <w:p w:rsidR="006A66C1"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FD7252">
        <w:rPr>
          <w:rFonts w:ascii="Arial" w:hAnsi="Arial" w:cs="Arial"/>
          <w:b/>
          <w:bCs/>
          <w:sz w:val="24"/>
          <w:szCs w:val="24"/>
          <w:lang w:eastAsia="es-ES"/>
        </w:rPr>
        <w:t>13</w:t>
      </w:r>
      <w:r w:rsidRPr="00147A18">
        <w:rPr>
          <w:rFonts w:ascii="Arial" w:hAnsi="Arial" w:cs="Arial"/>
          <w:b/>
          <w:bCs/>
          <w:sz w:val="24"/>
          <w:szCs w:val="24"/>
          <w:lang w:eastAsia="es-ES"/>
        </w:rPr>
        <w:t xml:space="preserve">  </w:t>
      </w:r>
      <w:r w:rsidR="006A66C1" w:rsidRPr="00147A18">
        <w:rPr>
          <w:rFonts w:ascii="Arial" w:hAnsi="Arial" w:cs="Arial"/>
          <w:b/>
          <w:bCs/>
          <w:sz w:val="24"/>
          <w:szCs w:val="24"/>
          <w:lang w:eastAsia="es-ES"/>
        </w:rPr>
        <w:t>Edificios</w:t>
      </w:r>
    </w:p>
    <w:p w:rsidR="006A66C1" w:rsidRPr="00C02FB5" w:rsidRDefault="006A66C1"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Su adquisición o construcción es para el uso normal de las actividades de la institución.</w:t>
      </w:r>
    </w:p>
    <w:p w:rsidR="006A66C1" w:rsidRPr="00C02FB5" w:rsidRDefault="006A66C1" w:rsidP="001F752F">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Se le aplican la depreciación en forma mensual, y una vida útil de 50 años, según lo establece el Reglamento de la Ley del Impuesto sobre la Renta.</w:t>
      </w:r>
    </w:p>
    <w:bookmarkStart w:id="21" w:name="_MON_1435400530"/>
    <w:bookmarkEnd w:id="21"/>
    <w:p w:rsidR="006A66C1" w:rsidRDefault="00DA4E24" w:rsidP="001F752F">
      <w:pPr>
        <w:tabs>
          <w:tab w:val="left" w:pos="0"/>
        </w:tabs>
        <w:ind w:left="-426" w:right="50"/>
        <w:rPr>
          <w:rFonts w:ascii="Arial" w:hAnsi="Arial" w:cs="Arial"/>
          <w:sz w:val="24"/>
          <w:szCs w:val="24"/>
        </w:rPr>
      </w:pPr>
      <w:r w:rsidRPr="00C02FB5">
        <w:rPr>
          <w:rFonts w:ascii="Arial" w:hAnsi="Arial" w:cs="Arial"/>
          <w:sz w:val="24"/>
          <w:szCs w:val="24"/>
        </w:rPr>
        <w:object w:dxaOrig="10187" w:dyaOrig="1036">
          <v:shape id="_x0000_i1035" type="#_x0000_t75" style="width:510pt;height:51pt" o:ole="">
            <v:imagedata r:id="rId28" o:title=""/>
          </v:shape>
          <o:OLEObject Type="Embed" ProgID="Excel.Sheet.8" ShapeID="_x0000_i1035" DrawAspect="Content" ObjectID="_1611577082" r:id="rId29"/>
        </w:object>
      </w:r>
    </w:p>
    <w:p w:rsidR="00971C41" w:rsidRDefault="003B62BE" w:rsidP="001F752F">
      <w:pPr>
        <w:ind w:left="-426"/>
        <w:rPr>
          <w:rFonts w:ascii="Arial" w:hAnsi="Arial" w:cs="Arial"/>
          <w:b/>
          <w:bCs/>
          <w:sz w:val="24"/>
          <w:szCs w:val="24"/>
          <w:lang w:eastAsia="es-ES"/>
        </w:rPr>
      </w:pPr>
      <w:r w:rsidRPr="00147A18">
        <w:rPr>
          <w:rFonts w:ascii="Arial" w:hAnsi="Arial" w:cs="Arial"/>
          <w:b/>
          <w:bCs/>
          <w:sz w:val="24"/>
          <w:szCs w:val="24"/>
          <w:lang w:eastAsia="es-ES"/>
        </w:rPr>
        <w:t xml:space="preserve">NOTA No. </w:t>
      </w:r>
      <w:r w:rsidR="006508B0">
        <w:rPr>
          <w:rFonts w:ascii="Arial" w:hAnsi="Arial" w:cs="Arial"/>
          <w:b/>
          <w:bCs/>
          <w:sz w:val="24"/>
          <w:szCs w:val="24"/>
          <w:lang w:eastAsia="es-ES"/>
        </w:rPr>
        <w:t>14</w:t>
      </w:r>
      <w:r w:rsidRPr="00147A18">
        <w:rPr>
          <w:rFonts w:ascii="Arial" w:hAnsi="Arial" w:cs="Arial"/>
          <w:b/>
          <w:bCs/>
          <w:sz w:val="24"/>
          <w:szCs w:val="24"/>
          <w:lang w:eastAsia="es-ES"/>
        </w:rPr>
        <w:t xml:space="preserve">  </w:t>
      </w:r>
      <w:r w:rsidR="00971C41" w:rsidRPr="00147A18">
        <w:rPr>
          <w:rFonts w:ascii="Arial" w:hAnsi="Arial" w:cs="Arial"/>
          <w:b/>
          <w:bCs/>
          <w:sz w:val="24"/>
          <w:szCs w:val="24"/>
          <w:lang w:eastAsia="es-ES"/>
        </w:rPr>
        <w:t xml:space="preserve">Depreciación Acumulada de Edificios </w:t>
      </w:r>
    </w:p>
    <w:bookmarkStart w:id="22" w:name="_MON_1435400570"/>
    <w:bookmarkEnd w:id="22"/>
    <w:p w:rsidR="00762AC0" w:rsidRDefault="00DA4E24" w:rsidP="001F752F">
      <w:pPr>
        <w:ind w:left="-426"/>
        <w:rPr>
          <w:rFonts w:ascii="Arial" w:hAnsi="Arial" w:cs="Arial"/>
          <w:b/>
          <w:bCs/>
          <w:sz w:val="24"/>
          <w:szCs w:val="24"/>
          <w:lang w:eastAsia="es-ES"/>
        </w:rPr>
      </w:pPr>
      <w:r w:rsidRPr="00C02FB5">
        <w:rPr>
          <w:rFonts w:ascii="Arial" w:hAnsi="Arial" w:cs="Arial"/>
          <w:sz w:val="24"/>
          <w:szCs w:val="24"/>
        </w:rPr>
        <w:object w:dxaOrig="10187" w:dyaOrig="1036">
          <v:shape id="_x0000_i1036" type="#_x0000_t75" style="width:510pt;height:51pt" o:ole="">
            <v:imagedata r:id="rId30" o:title=""/>
          </v:shape>
          <o:OLEObject Type="Embed" ProgID="Excel.Sheet.8" ShapeID="_x0000_i1036" DrawAspect="Content" ObjectID="_1611577083" r:id="rId31"/>
        </w:object>
      </w:r>
      <w:r w:rsidR="00762AC0">
        <w:rPr>
          <w:rFonts w:ascii="Arial" w:hAnsi="Arial" w:cs="Arial"/>
          <w:sz w:val="24"/>
          <w:szCs w:val="24"/>
        </w:rPr>
        <w:t>El método de depreciación utilizado es el de línea recta</w:t>
      </w:r>
      <w:r w:rsidR="00AB47F5">
        <w:rPr>
          <w:rFonts w:ascii="Arial" w:hAnsi="Arial" w:cs="Arial"/>
          <w:sz w:val="24"/>
          <w:szCs w:val="24"/>
        </w:rPr>
        <w:t xml:space="preserve"> 50 años</w:t>
      </w:r>
      <w:r w:rsidR="00762AC0">
        <w:rPr>
          <w:rFonts w:ascii="Arial" w:hAnsi="Arial" w:cs="Arial"/>
          <w:sz w:val="24"/>
          <w:szCs w:val="24"/>
        </w:rPr>
        <w:t xml:space="preserve">, la variación corresponde a que hubo un incremento </w:t>
      </w:r>
      <w:r w:rsidR="00720F4A">
        <w:rPr>
          <w:rFonts w:ascii="Arial" w:hAnsi="Arial" w:cs="Arial"/>
          <w:sz w:val="24"/>
          <w:szCs w:val="24"/>
        </w:rPr>
        <w:t xml:space="preserve">en la cuenta de </w:t>
      </w:r>
      <w:r w:rsidR="0003599C">
        <w:rPr>
          <w:rFonts w:ascii="Arial" w:hAnsi="Arial" w:cs="Arial"/>
          <w:sz w:val="24"/>
          <w:szCs w:val="24"/>
        </w:rPr>
        <w:t>edificios.</w:t>
      </w: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692111">
        <w:rPr>
          <w:rFonts w:ascii="Arial" w:hAnsi="Arial" w:cs="Arial"/>
          <w:b/>
          <w:bCs/>
          <w:sz w:val="24"/>
          <w:szCs w:val="24"/>
          <w:lang w:eastAsia="es-ES"/>
        </w:rPr>
        <w:t>15</w:t>
      </w:r>
      <w:r w:rsidRPr="00647D3C">
        <w:rPr>
          <w:rFonts w:ascii="Arial" w:hAnsi="Arial" w:cs="Arial"/>
          <w:b/>
          <w:bCs/>
          <w:sz w:val="24"/>
          <w:szCs w:val="24"/>
          <w:lang w:eastAsia="es-ES"/>
        </w:rPr>
        <w:t xml:space="preserve">  Bienes Duraderos Diversos</w:t>
      </w:r>
    </w:p>
    <w:p w:rsidR="00303751" w:rsidRDefault="003B62BE" w:rsidP="001F752F">
      <w:pPr>
        <w:spacing w:line="240" w:lineRule="auto"/>
        <w:ind w:left="-426"/>
        <w:jc w:val="left"/>
        <w:rPr>
          <w:rFonts w:ascii="Arial" w:hAnsi="Arial" w:cs="Arial"/>
          <w:sz w:val="24"/>
          <w:szCs w:val="24"/>
        </w:rPr>
      </w:pPr>
      <w:r w:rsidRPr="00C02FB5">
        <w:rPr>
          <w:rFonts w:ascii="Arial" w:hAnsi="Arial" w:cs="Arial"/>
          <w:sz w:val="24"/>
          <w:szCs w:val="24"/>
        </w:rPr>
        <w:t>En esta cuenta se registran aquellas partidas que no pueden ser registradas</w:t>
      </w:r>
      <w:r w:rsidR="008B1762">
        <w:rPr>
          <w:rFonts w:ascii="Arial" w:hAnsi="Arial" w:cs="Arial"/>
          <w:sz w:val="24"/>
          <w:szCs w:val="24"/>
        </w:rPr>
        <w:t xml:space="preserve"> en las partidas, </w:t>
      </w:r>
      <w:r w:rsidR="00CB6ED1">
        <w:rPr>
          <w:rFonts w:ascii="Arial" w:hAnsi="Arial" w:cs="Arial"/>
          <w:sz w:val="24"/>
          <w:szCs w:val="24"/>
        </w:rPr>
        <w:t xml:space="preserve"> antes citadas, como material bibliográfico.</w:t>
      </w:r>
    </w:p>
    <w:p w:rsidR="008C51CE" w:rsidRPr="00C02FB5" w:rsidRDefault="008C51CE" w:rsidP="001F752F">
      <w:pPr>
        <w:spacing w:line="240" w:lineRule="auto"/>
        <w:ind w:left="-426"/>
        <w:jc w:val="left"/>
        <w:rPr>
          <w:rFonts w:ascii="Arial" w:hAnsi="Arial" w:cs="Arial"/>
          <w:sz w:val="24"/>
          <w:szCs w:val="24"/>
        </w:rPr>
      </w:pPr>
    </w:p>
    <w:bookmarkStart w:id="23" w:name="_MON_1419862945"/>
    <w:bookmarkEnd w:id="23"/>
    <w:p w:rsidR="00B776AE" w:rsidRDefault="00DA4E24" w:rsidP="001F752F">
      <w:pPr>
        <w:ind w:left="-426"/>
        <w:jc w:val="left"/>
        <w:rPr>
          <w:rFonts w:ascii="Arial" w:hAnsi="Arial" w:cs="Arial"/>
          <w:sz w:val="24"/>
          <w:szCs w:val="24"/>
        </w:rPr>
      </w:pPr>
      <w:r w:rsidRPr="00C02FB5">
        <w:rPr>
          <w:rFonts w:ascii="Arial" w:hAnsi="Arial" w:cs="Arial"/>
          <w:sz w:val="24"/>
          <w:szCs w:val="24"/>
        </w:rPr>
        <w:object w:dxaOrig="10187" w:dyaOrig="1036">
          <v:shape id="_x0000_i1037" type="#_x0000_t75" style="width:510pt;height:51pt" o:ole="">
            <v:imagedata r:id="rId32" o:title=""/>
          </v:shape>
          <o:OLEObject Type="Embed" ProgID="Excel.Sheet.8" ShapeID="_x0000_i1037" DrawAspect="Content" ObjectID="_1611577084" r:id="rId33"/>
        </w:object>
      </w:r>
    </w:p>
    <w:p w:rsidR="00297F24" w:rsidRDefault="003B62BE" w:rsidP="001F752F">
      <w:pPr>
        <w:ind w:left="-426" w:right="50"/>
        <w:rPr>
          <w:rFonts w:ascii="Arial" w:hAnsi="Arial" w:cs="Arial"/>
          <w:b/>
          <w:bCs/>
          <w:sz w:val="24"/>
          <w:szCs w:val="24"/>
          <w:lang w:eastAsia="es-ES"/>
        </w:rPr>
      </w:pPr>
      <w:r w:rsidRPr="00647D3C">
        <w:rPr>
          <w:rFonts w:ascii="Arial" w:hAnsi="Arial" w:cs="Arial"/>
          <w:b/>
          <w:bCs/>
          <w:sz w:val="24"/>
          <w:szCs w:val="24"/>
          <w:lang w:eastAsia="es-ES"/>
        </w:rPr>
        <w:t>NOTA No.</w:t>
      </w:r>
      <w:r w:rsidR="00702DF1">
        <w:rPr>
          <w:rFonts w:ascii="Arial" w:hAnsi="Arial" w:cs="Arial"/>
          <w:b/>
          <w:bCs/>
          <w:sz w:val="24"/>
          <w:szCs w:val="24"/>
          <w:lang w:eastAsia="es-ES"/>
        </w:rPr>
        <w:t xml:space="preserve"> </w:t>
      </w:r>
      <w:r w:rsidR="003574F8">
        <w:rPr>
          <w:rFonts w:ascii="Arial" w:hAnsi="Arial" w:cs="Arial"/>
          <w:b/>
          <w:bCs/>
          <w:sz w:val="24"/>
          <w:szCs w:val="24"/>
          <w:lang w:eastAsia="es-ES"/>
        </w:rPr>
        <w:t>16</w:t>
      </w:r>
      <w:r w:rsidR="00702DF1">
        <w:rPr>
          <w:rFonts w:ascii="Arial" w:hAnsi="Arial" w:cs="Arial"/>
          <w:b/>
          <w:bCs/>
          <w:sz w:val="24"/>
          <w:szCs w:val="24"/>
          <w:lang w:eastAsia="es-ES"/>
        </w:rPr>
        <w:t xml:space="preserve">  Amortización y Agotamiento</w:t>
      </w:r>
    </w:p>
    <w:p w:rsidR="003B62BE" w:rsidRPr="00C02FB5" w:rsidRDefault="00DD5F2A" w:rsidP="001F752F">
      <w:pPr>
        <w:spacing w:line="240" w:lineRule="auto"/>
        <w:ind w:left="-426"/>
        <w:rPr>
          <w:rFonts w:ascii="Arial" w:hAnsi="Arial" w:cs="Arial"/>
          <w:sz w:val="24"/>
          <w:szCs w:val="24"/>
        </w:rPr>
      </w:pPr>
      <w:r w:rsidRPr="00C02FB5">
        <w:rPr>
          <w:rFonts w:ascii="Arial" w:hAnsi="Arial" w:cs="Arial"/>
          <w:sz w:val="24"/>
          <w:szCs w:val="24"/>
        </w:rPr>
        <w:lastRenderedPageBreak/>
        <w:t>Este rubro corresponde a la aplicación de amortización al material bibliográfico, que en algún momento se amortiz</w:t>
      </w:r>
      <w:r w:rsidR="009E1A64" w:rsidRPr="00C02FB5">
        <w:rPr>
          <w:rFonts w:ascii="Arial" w:hAnsi="Arial" w:cs="Arial"/>
          <w:sz w:val="24"/>
          <w:szCs w:val="24"/>
        </w:rPr>
        <w:t>ó</w:t>
      </w:r>
      <w:r w:rsidRPr="00C02FB5">
        <w:rPr>
          <w:rFonts w:ascii="Arial" w:hAnsi="Arial" w:cs="Arial"/>
          <w:sz w:val="24"/>
          <w:szCs w:val="24"/>
        </w:rPr>
        <w:t xml:space="preserve"> su costo, sin embargo, en la actualidad, no se lleva a cabo, ya que según los expertos</w:t>
      </w:r>
      <w:r w:rsidR="009E1A64" w:rsidRPr="00C02FB5">
        <w:rPr>
          <w:rFonts w:ascii="Arial" w:hAnsi="Arial" w:cs="Arial"/>
          <w:sz w:val="24"/>
          <w:szCs w:val="24"/>
        </w:rPr>
        <w:t xml:space="preserve"> en el área</w:t>
      </w:r>
      <w:r w:rsidRPr="00C02FB5">
        <w:rPr>
          <w:rFonts w:ascii="Arial" w:hAnsi="Arial" w:cs="Arial"/>
          <w:sz w:val="24"/>
          <w:szCs w:val="24"/>
        </w:rPr>
        <w:t>, en este rubro es difícil</w:t>
      </w:r>
      <w:r w:rsidR="009E1A64" w:rsidRPr="00C02FB5">
        <w:rPr>
          <w:rFonts w:ascii="Arial" w:hAnsi="Arial" w:cs="Arial"/>
          <w:sz w:val="24"/>
          <w:szCs w:val="24"/>
        </w:rPr>
        <w:t>, definir una política de agotamiento, ya que algunas obras literarias, el valor histórico es incalculable.</w:t>
      </w:r>
      <w:r w:rsidRPr="00C02FB5">
        <w:rPr>
          <w:rFonts w:ascii="Arial" w:hAnsi="Arial" w:cs="Arial"/>
          <w:sz w:val="24"/>
          <w:szCs w:val="24"/>
        </w:rPr>
        <w:t xml:space="preserve"> </w:t>
      </w:r>
    </w:p>
    <w:bookmarkStart w:id="24" w:name="_MON_1419863269"/>
    <w:bookmarkEnd w:id="24"/>
    <w:p w:rsidR="00B776AE" w:rsidRDefault="00DA4E24" w:rsidP="001F752F">
      <w:pPr>
        <w:ind w:left="-426"/>
        <w:rPr>
          <w:rFonts w:ascii="Arial" w:hAnsi="Arial" w:cs="Arial"/>
          <w:b/>
          <w:bCs/>
          <w:sz w:val="24"/>
          <w:szCs w:val="24"/>
          <w:lang w:eastAsia="es-ES"/>
        </w:rPr>
      </w:pPr>
      <w:r w:rsidRPr="00C02FB5">
        <w:rPr>
          <w:rFonts w:ascii="Arial" w:hAnsi="Arial" w:cs="Arial"/>
          <w:sz w:val="24"/>
          <w:szCs w:val="24"/>
        </w:rPr>
        <w:object w:dxaOrig="10187" w:dyaOrig="1050">
          <v:shape id="_x0000_i1038" type="#_x0000_t75" style="width:510pt;height:51.75pt" o:ole="">
            <v:imagedata r:id="rId34" o:title=""/>
          </v:shape>
          <o:OLEObject Type="Embed" ProgID="Excel.Sheet.8" ShapeID="_x0000_i1038" DrawAspect="Content" ObjectID="_1611577085" r:id="rId35"/>
        </w:object>
      </w: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6B05DF">
        <w:rPr>
          <w:rFonts w:ascii="Arial" w:hAnsi="Arial" w:cs="Arial"/>
          <w:b/>
          <w:bCs/>
          <w:sz w:val="24"/>
          <w:szCs w:val="24"/>
          <w:lang w:eastAsia="es-ES"/>
        </w:rPr>
        <w:t>17</w:t>
      </w:r>
      <w:r w:rsidRPr="00647D3C">
        <w:rPr>
          <w:rFonts w:ascii="Arial" w:hAnsi="Arial" w:cs="Arial"/>
          <w:b/>
          <w:bCs/>
          <w:sz w:val="24"/>
          <w:szCs w:val="24"/>
          <w:lang w:eastAsia="es-ES"/>
        </w:rPr>
        <w:t xml:space="preserve">  Piezas de Colección</w:t>
      </w:r>
    </w:p>
    <w:bookmarkStart w:id="25" w:name="_MON_1435400829"/>
    <w:bookmarkEnd w:id="25"/>
    <w:p w:rsidR="003B62BE" w:rsidRPr="00C02FB5" w:rsidRDefault="00DA4E24" w:rsidP="001F752F">
      <w:pPr>
        <w:tabs>
          <w:tab w:val="left" w:pos="0"/>
        </w:tabs>
        <w:ind w:left="-426" w:right="50"/>
        <w:rPr>
          <w:rFonts w:ascii="Arial" w:hAnsi="Arial" w:cs="Arial"/>
          <w:sz w:val="24"/>
          <w:szCs w:val="24"/>
        </w:rPr>
      </w:pPr>
      <w:r w:rsidRPr="00C02FB5">
        <w:rPr>
          <w:rFonts w:ascii="Arial" w:hAnsi="Arial" w:cs="Arial"/>
          <w:sz w:val="24"/>
          <w:szCs w:val="24"/>
        </w:rPr>
        <w:object w:dxaOrig="10187" w:dyaOrig="1036">
          <v:shape id="_x0000_i1039" type="#_x0000_t75" style="width:510pt;height:51pt" o:ole="">
            <v:imagedata r:id="rId36" o:title=""/>
          </v:shape>
          <o:OLEObject Type="Embed" ProgID="Excel.Sheet.8" ShapeID="_x0000_i1039" DrawAspect="Content" ObjectID="_1611577086" r:id="rId37"/>
        </w:object>
      </w:r>
      <w:r w:rsidR="00DF7A6E">
        <w:rPr>
          <w:rFonts w:ascii="Arial" w:hAnsi="Arial" w:cs="Arial"/>
          <w:sz w:val="24"/>
          <w:szCs w:val="24"/>
        </w:rPr>
        <w:t xml:space="preserve">Corresponde a </w:t>
      </w:r>
      <w:r w:rsidR="00C24430">
        <w:rPr>
          <w:rFonts w:ascii="Arial" w:hAnsi="Arial" w:cs="Arial"/>
          <w:sz w:val="24"/>
          <w:szCs w:val="24"/>
        </w:rPr>
        <w:t xml:space="preserve">5 pinturas donadas por </w:t>
      </w:r>
      <w:r w:rsidR="0064079B">
        <w:rPr>
          <w:rFonts w:ascii="Arial" w:hAnsi="Arial" w:cs="Arial"/>
          <w:sz w:val="24"/>
          <w:szCs w:val="24"/>
        </w:rPr>
        <w:t>el pintor Miguel Hernández Bastos</w:t>
      </w:r>
      <w:r w:rsidR="008E473F">
        <w:rPr>
          <w:rFonts w:ascii="Arial" w:hAnsi="Arial" w:cs="Arial"/>
          <w:sz w:val="24"/>
          <w:szCs w:val="24"/>
        </w:rPr>
        <w:t>.</w:t>
      </w:r>
    </w:p>
    <w:p w:rsidR="003B62BE" w:rsidRPr="00647D3C" w:rsidRDefault="003B62BE" w:rsidP="001F752F">
      <w:pPr>
        <w:ind w:left="-426"/>
        <w:rPr>
          <w:rFonts w:ascii="Arial" w:hAnsi="Arial" w:cs="Arial"/>
          <w:b/>
          <w:bCs/>
          <w:sz w:val="24"/>
          <w:szCs w:val="24"/>
          <w:lang w:eastAsia="es-ES"/>
        </w:rPr>
      </w:pPr>
      <w:r w:rsidRPr="00647D3C">
        <w:rPr>
          <w:rFonts w:ascii="Arial" w:hAnsi="Arial" w:cs="Arial"/>
          <w:b/>
          <w:bCs/>
          <w:sz w:val="24"/>
          <w:szCs w:val="24"/>
          <w:lang w:eastAsia="es-ES"/>
        </w:rPr>
        <w:t xml:space="preserve">NOTA No. </w:t>
      </w:r>
      <w:r w:rsidR="00FD2E4A">
        <w:rPr>
          <w:rFonts w:ascii="Arial" w:hAnsi="Arial" w:cs="Arial"/>
          <w:b/>
          <w:bCs/>
          <w:sz w:val="24"/>
          <w:szCs w:val="24"/>
          <w:lang w:eastAsia="es-ES"/>
        </w:rPr>
        <w:t>18</w:t>
      </w:r>
      <w:r w:rsidRPr="00647D3C">
        <w:rPr>
          <w:rFonts w:ascii="Arial" w:hAnsi="Arial" w:cs="Arial"/>
          <w:b/>
          <w:bCs/>
          <w:sz w:val="24"/>
          <w:szCs w:val="24"/>
          <w:lang w:eastAsia="es-ES"/>
        </w:rPr>
        <w:t xml:space="preserve">  Depósitos</w:t>
      </w:r>
      <w:r w:rsidR="002E2DEE">
        <w:rPr>
          <w:rFonts w:ascii="Arial" w:hAnsi="Arial" w:cs="Arial"/>
          <w:b/>
          <w:bCs/>
          <w:sz w:val="24"/>
          <w:szCs w:val="24"/>
          <w:lang w:eastAsia="es-ES"/>
        </w:rPr>
        <w:t xml:space="preserve"> en garantía</w:t>
      </w:r>
    </w:p>
    <w:bookmarkStart w:id="26" w:name="_MON_1419863712"/>
    <w:bookmarkEnd w:id="26"/>
    <w:p w:rsidR="00F35806" w:rsidRDefault="00DA4E24" w:rsidP="001F752F">
      <w:pPr>
        <w:ind w:left="-426"/>
        <w:rPr>
          <w:rFonts w:ascii="Arial" w:hAnsi="Arial" w:cs="Arial"/>
          <w:color w:val="000000"/>
          <w:sz w:val="24"/>
          <w:szCs w:val="24"/>
          <w:lang w:val="es-ES_tradnl"/>
        </w:rPr>
      </w:pPr>
      <w:r w:rsidRPr="00C02FB5">
        <w:rPr>
          <w:rFonts w:ascii="Arial" w:hAnsi="Arial" w:cs="Arial"/>
          <w:color w:val="000000"/>
          <w:sz w:val="24"/>
          <w:szCs w:val="24"/>
          <w:lang w:val="es-ES_tradnl"/>
        </w:rPr>
        <w:object w:dxaOrig="10187" w:dyaOrig="1050">
          <v:shape id="_x0000_i1040" type="#_x0000_t75" style="width:510pt;height:51.75pt" o:ole="">
            <v:imagedata r:id="rId38" o:title=""/>
          </v:shape>
          <o:OLEObject Type="Embed" ProgID="Excel.Sheet.8" ShapeID="_x0000_i1040" DrawAspect="Content" ObjectID="_1611577087" r:id="rId39"/>
        </w:object>
      </w:r>
    </w:p>
    <w:p w:rsidR="003B62BE" w:rsidRPr="00647D3C" w:rsidRDefault="003B62BE" w:rsidP="001F752F">
      <w:pPr>
        <w:spacing w:line="240" w:lineRule="auto"/>
        <w:ind w:left="-426"/>
        <w:rPr>
          <w:rFonts w:ascii="Arial" w:hAnsi="Arial" w:cs="Arial"/>
          <w:b/>
          <w:bCs/>
          <w:sz w:val="24"/>
          <w:szCs w:val="24"/>
          <w:lang w:eastAsia="es-ES"/>
        </w:rPr>
      </w:pPr>
      <w:r w:rsidRPr="00647D3C">
        <w:rPr>
          <w:rFonts w:ascii="Arial" w:hAnsi="Arial" w:cs="Arial"/>
          <w:b/>
          <w:bCs/>
          <w:sz w:val="24"/>
          <w:szCs w:val="24"/>
          <w:lang w:eastAsia="es-ES"/>
        </w:rPr>
        <w:t>Pasivo y Patrimonio</w:t>
      </w:r>
    </w:p>
    <w:p w:rsidR="003B62BE" w:rsidRDefault="003B62BE" w:rsidP="001F752F">
      <w:pPr>
        <w:shd w:val="clear" w:color="auto" w:fill="FFFFFF"/>
        <w:spacing w:before="300" w:after="300" w:line="240" w:lineRule="auto"/>
        <w:ind w:left="-426"/>
        <w:jc w:val="left"/>
        <w:outlineLvl w:val="2"/>
        <w:rPr>
          <w:rFonts w:ascii="Arial" w:hAnsi="Arial" w:cs="Arial"/>
          <w:b/>
          <w:bCs/>
          <w:sz w:val="24"/>
          <w:szCs w:val="24"/>
          <w:lang w:eastAsia="es-ES"/>
        </w:rPr>
      </w:pPr>
      <w:r w:rsidRPr="00647D3C">
        <w:rPr>
          <w:rFonts w:ascii="Arial" w:hAnsi="Arial" w:cs="Arial"/>
          <w:b/>
          <w:bCs/>
          <w:sz w:val="24"/>
          <w:szCs w:val="24"/>
          <w:lang w:eastAsia="es-ES"/>
        </w:rPr>
        <w:t>Pasivo Corriente</w:t>
      </w:r>
    </w:p>
    <w:p w:rsidR="003B62BE" w:rsidRPr="00647D3C" w:rsidRDefault="003B62BE" w:rsidP="001F752F">
      <w:pPr>
        <w:spacing w:line="240" w:lineRule="auto"/>
        <w:ind w:left="-426"/>
        <w:rPr>
          <w:rFonts w:ascii="Arial" w:hAnsi="Arial" w:cs="Arial"/>
          <w:b/>
          <w:bCs/>
          <w:sz w:val="24"/>
          <w:szCs w:val="24"/>
          <w:lang w:eastAsia="es-ES"/>
        </w:rPr>
      </w:pPr>
      <w:r w:rsidRPr="00615819">
        <w:rPr>
          <w:rFonts w:ascii="Arial" w:hAnsi="Arial" w:cs="Arial"/>
          <w:b/>
          <w:bCs/>
          <w:sz w:val="24"/>
          <w:szCs w:val="24"/>
          <w:lang w:eastAsia="es-ES"/>
        </w:rPr>
        <w:t xml:space="preserve">NOTA No. </w:t>
      </w:r>
      <w:r w:rsidR="006D10D8" w:rsidRPr="00615819">
        <w:rPr>
          <w:rFonts w:ascii="Arial" w:hAnsi="Arial" w:cs="Arial"/>
          <w:b/>
          <w:bCs/>
          <w:sz w:val="24"/>
          <w:szCs w:val="24"/>
          <w:lang w:eastAsia="es-ES"/>
        </w:rPr>
        <w:t>19</w:t>
      </w:r>
      <w:r w:rsidRPr="007822B9">
        <w:rPr>
          <w:rFonts w:ascii="Arial" w:hAnsi="Arial" w:cs="Arial"/>
          <w:b/>
          <w:bCs/>
          <w:color w:val="FF0000"/>
          <w:sz w:val="24"/>
          <w:szCs w:val="24"/>
          <w:lang w:eastAsia="es-ES"/>
        </w:rPr>
        <w:t xml:space="preserve">  </w:t>
      </w:r>
      <w:r w:rsidRPr="00647D3C">
        <w:rPr>
          <w:rFonts w:ascii="Arial" w:hAnsi="Arial" w:cs="Arial"/>
          <w:b/>
          <w:bCs/>
          <w:sz w:val="24"/>
          <w:szCs w:val="24"/>
          <w:lang w:eastAsia="es-ES"/>
        </w:rPr>
        <w:t>Cuentas por pagar corto plazo</w:t>
      </w:r>
    </w:p>
    <w:bookmarkStart w:id="27" w:name="_MON_1419864371"/>
    <w:bookmarkEnd w:id="27"/>
    <w:p w:rsidR="00B70B77" w:rsidRDefault="00DA4E24" w:rsidP="00B70B77">
      <w:pPr>
        <w:spacing w:line="240" w:lineRule="auto"/>
        <w:ind w:left="-426"/>
        <w:rPr>
          <w:rFonts w:ascii="Arial" w:hAnsi="Arial" w:cs="Arial"/>
          <w:sz w:val="24"/>
          <w:szCs w:val="24"/>
        </w:rPr>
      </w:pPr>
      <w:r w:rsidRPr="00C02FB5">
        <w:rPr>
          <w:rFonts w:ascii="Arial" w:hAnsi="Arial" w:cs="Arial"/>
          <w:sz w:val="24"/>
          <w:szCs w:val="24"/>
        </w:rPr>
        <w:object w:dxaOrig="10187" w:dyaOrig="1036">
          <v:shape id="_x0000_i1041" type="#_x0000_t75" style="width:510pt;height:51pt" o:ole="">
            <v:imagedata r:id="rId40" o:title=""/>
          </v:shape>
          <o:OLEObject Type="Embed" ProgID="Excel.Sheet.8" ShapeID="_x0000_i1041" DrawAspect="Content" ObjectID="_1611577088" r:id="rId41"/>
        </w:object>
      </w:r>
      <w:r w:rsidR="00B70B77" w:rsidRPr="00B70B77">
        <w:rPr>
          <w:rFonts w:ascii="Arial" w:hAnsi="Arial" w:cs="Arial"/>
          <w:sz w:val="24"/>
          <w:szCs w:val="24"/>
        </w:rPr>
        <w:t xml:space="preserve"> </w:t>
      </w:r>
    </w:p>
    <w:p w:rsidR="00B70B77" w:rsidRDefault="00B70B77" w:rsidP="00B70B77">
      <w:pPr>
        <w:spacing w:line="240" w:lineRule="auto"/>
        <w:ind w:left="-426"/>
        <w:rPr>
          <w:rFonts w:ascii="Arial" w:hAnsi="Arial" w:cs="Arial"/>
          <w:sz w:val="24"/>
          <w:szCs w:val="24"/>
        </w:rPr>
      </w:pPr>
      <w:r w:rsidRPr="00C02FB5">
        <w:rPr>
          <w:rFonts w:ascii="Arial" w:hAnsi="Arial" w:cs="Arial"/>
          <w:sz w:val="24"/>
          <w:szCs w:val="24"/>
        </w:rPr>
        <w:t>Los principales rubros que conforman esta cuenta son los siguientes:</w:t>
      </w:r>
    </w:p>
    <w:tbl>
      <w:tblPr>
        <w:tblW w:w="7220" w:type="dxa"/>
        <w:tblCellMar>
          <w:left w:w="70" w:type="dxa"/>
          <w:right w:w="70" w:type="dxa"/>
        </w:tblCellMar>
        <w:tblLook w:val="04A0" w:firstRow="1" w:lastRow="0" w:firstColumn="1" w:lastColumn="0" w:noHBand="0" w:noVBand="1"/>
      </w:tblPr>
      <w:tblGrid>
        <w:gridCol w:w="3580"/>
        <w:gridCol w:w="1820"/>
        <w:gridCol w:w="1820"/>
      </w:tblGrid>
      <w:tr w:rsidR="00F47DD7" w:rsidRPr="00F47DD7" w:rsidTr="00F47DD7">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left"/>
              <w:rPr>
                <w:color w:val="000000"/>
                <w:lang w:eastAsia="es-ES"/>
              </w:rPr>
            </w:pPr>
            <w:r w:rsidRPr="00F47DD7">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center"/>
              <w:rPr>
                <w:color w:val="000000"/>
                <w:lang w:eastAsia="es-ES"/>
              </w:rPr>
            </w:pPr>
            <w:r w:rsidRPr="00F47DD7">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center"/>
              <w:rPr>
                <w:color w:val="000000"/>
                <w:lang w:eastAsia="es-ES"/>
              </w:rPr>
            </w:pPr>
            <w:r w:rsidRPr="00F47DD7">
              <w:rPr>
                <w:color w:val="000000"/>
                <w:lang w:eastAsia="es-ES"/>
              </w:rPr>
              <w:t>Diciembre 2018</w:t>
            </w:r>
          </w:p>
        </w:tc>
      </w:tr>
      <w:tr w:rsidR="00F47DD7" w:rsidRPr="00F47DD7" w:rsidTr="00F47DD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left"/>
              <w:rPr>
                <w:color w:val="000000"/>
                <w:lang w:eastAsia="es-ES"/>
              </w:rPr>
            </w:pPr>
            <w:r w:rsidRPr="00F47DD7">
              <w:rPr>
                <w:color w:val="000000"/>
                <w:lang w:eastAsia="es-ES"/>
              </w:rPr>
              <w:t>Proveedores</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376.250,48</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541.883,17</w:t>
            </w:r>
          </w:p>
        </w:tc>
      </w:tr>
      <w:tr w:rsidR="00F47DD7" w:rsidRPr="00F47DD7" w:rsidTr="00F47DD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left"/>
              <w:rPr>
                <w:color w:val="000000"/>
                <w:lang w:eastAsia="es-ES"/>
              </w:rPr>
            </w:pPr>
            <w:r w:rsidRPr="00F47DD7">
              <w:rPr>
                <w:color w:val="000000"/>
                <w:lang w:eastAsia="es-ES"/>
              </w:rPr>
              <w:t>Cheques anulados vencimiento</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29.779,52</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29.779,52</w:t>
            </w:r>
          </w:p>
        </w:tc>
      </w:tr>
      <w:tr w:rsidR="00F47DD7" w:rsidRPr="00F47DD7" w:rsidTr="00F47DD7">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left"/>
              <w:rPr>
                <w:color w:val="000000"/>
                <w:lang w:eastAsia="es-ES"/>
              </w:rPr>
            </w:pPr>
            <w:r w:rsidRPr="00F47DD7">
              <w:rPr>
                <w:color w:val="000000"/>
                <w:lang w:eastAsia="es-ES"/>
              </w:rPr>
              <w:t>Beneficios a empleados</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4.328.560,98</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9.052.129,34</w:t>
            </w:r>
          </w:p>
        </w:tc>
      </w:tr>
    </w:tbl>
    <w:p w:rsidR="0094547C" w:rsidRDefault="0094547C" w:rsidP="00B70B77">
      <w:pPr>
        <w:spacing w:line="240" w:lineRule="auto"/>
        <w:ind w:left="-426"/>
        <w:rPr>
          <w:rFonts w:ascii="Arial" w:hAnsi="Arial" w:cs="Arial"/>
          <w:sz w:val="24"/>
          <w:szCs w:val="24"/>
        </w:rPr>
      </w:pPr>
    </w:p>
    <w:p w:rsidR="00B70B77" w:rsidRDefault="00B70B77" w:rsidP="00B70B77">
      <w:pPr>
        <w:spacing w:line="240" w:lineRule="auto"/>
        <w:ind w:left="-426"/>
        <w:rPr>
          <w:rFonts w:ascii="Arial" w:hAnsi="Arial" w:cs="Arial"/>
          <w:sz w:val="24"/>
          <w:szCs w:val="24"/>
        </w:rPr>
      </w:pPr>
      <w:r w:rsidRPr="00C02FB5">
        <w:rPr>
          <w:rFonts w:ascii="Arial" w:hAnsi="Arial" w:cs="Arial"/>
          <w:sz w:val="24"/>
          <w:szCs w:val="24"/>
        </w:rPr>
        <w:t>-Proveedores, generalmente estas cuentas tiene un plazo para su pago de 30 días</w:t>
      </w:r>
      <w:r>
        <w:rPr>
          <w:rFonts w:ascii="Arial" w:hAnsi="Arial" w:cs="Arial"/>
          <w:sz w:val="24"/>
          <w:szCs w:val="24"/>
        </w:rPr>
        <w:t>.</w:t>
      </w:r>
    </w:p>
    <w:p w:rsidR="00B70B77" w:rsidRDefault="00B70B77" w:rsidP="00B70B77">
      <w:pPr>
        <w:spacing w:line="240" w:lineRule="auto"/>
        <w:ind w:left="-426"/>
        <w:rPr>
          <w:rFonts w:ascii="Arial" w:hAnsi="Arial" w:cs="Arial"/>
          <w:sz w:val="24"/>
          <w:szCs w:val="24"/>
        </w:rPr>
      </w:pPr>
      <w:r w:rsidRPr="00C02FB5">
        <w:rPr>
          <w:rFonts w:ascii="Arial" w:hAnsi="Arial" w:cs="Arial"/>
          <w:sz w:val="24"/>
          <w:szCs w:val="24"/>
        </w:rPr>
        <w:lastRenderedPageBreak/>
        <w:t xml:space="preserve"> -Cheques anulados por vencimiento, corresponde a los cheques que han transcurrido un plazo de 4 meses y no han sido retirados en ventanilla para su cobro, si en el transcurso de 4 años no se solicita la reposición, se limpiará la cuenta por pagar y se registrará un ingreso.</w:t>
      </w:r>
      <w:r>
        <w:rPr>
          <w:rFonts w:ascii="Arial" w:hAnsi="Arial" w:cs="Arial"/>
          <w:sz w:val="24"/>
          <w:szCs w:val="24"/>
        </w:rPr>
        <w:t xml:space="preserve"> </w:t>
      </w:r>
    </w:p>
    <w:p w:rsidR="00737A48" w:rsidRPr="00C02FB5" w:rsidRDefault="00B70B77" w:rsidP="00737A48">
      <w:pPr>
        <w:spacing w:line="240" w:lineRule="auto"/>
        <w:ind w:left="-426"/>
        <w:rPr>
          <w:rFonts w:ascii="Arial" w:hAnsi="Arial" w:cs="Arial"/>
          <w:bCs/>
          <w:color w:val="000000"/>
          <w:sz w:val="24"/>
          <w:szCs w:val="24"/>
          <w:lang w:eastAsia="es-ES"/>
        </w:rPr>
      </w:pPr>
      <w:r>
        <w:rPr>
          <w:rFonts w:ascii="Arial" w:hAnsi="Arial" w:cs="Arial"/>
          <w:sz w:val="24"/>
          <w:szCs w:val="24"/>
        </w:rPr>
        <w:t xml:space="preserve">Beneficios a empleados: Corresponde a las cuentas por pagar generadas por los beneficios que </w:t>
      </w:r>
      <w:r w:rsidR="00737A48">
        <w:rPr>
          <w:rFonts w:ascii="Arial" w:hAnsi="Arial" w:cs="Arial"/>
          <w:sz w:val="24"/>
          <w:szCs w:val="24"/>
        </w:rPr>
        <w:t xml:space="preserve">se originan de los gastos por </w:t>
      </w:r>
      <w:r w:rsidR="007962C0">
        <w:rPr>
          <w:rFonts w:ascii="Arial" w:hAnsi="Arial" w:cs="Arial"/>
          <w:sz w:val="24"/>
          <w:szCs w:val="24"/>
        </w:rPr>
        <w:t>planillas,</w:t>
      </w:r>
      <w:r>
        <w:rPr>
          <w:rFonts w:ascii="Arial" w:hAnsi="Arial" w:cs="Arial"/>
          <w:sz w:val="24"/>
          <w:szCs w:val="24"/>
        </w:rPr>
        <w:t xml:space="preserve"> como lo es: aguinaldo, salario es</w:t>
      </w:r>
      <w:r w:rsidR="005D04F0">
        <w:rPr>
          <w:rFonts w:ascii="Arial" w:hAnsi="Arial" w:cs="Arial"/>
          <w:sz w:val="24"/>
          <w:szCs w:val="24"/>
        </w:rPr>
        <w:t>colar, cuotas patronales  (</w:t>
      </w:r>
      <w:r>
        <w:rPr>
          <w:rFonts w:ascii="Arial" w:hAnsi="Arial" w:cs="Arial"/>
          <w:sz w:val="24"/>
          <w:szCs w:val="24"/>
        </w:rPr>
        <w:t>enfermedad y maternidad, fondos de pensiones</w:t>
      </w:r>
      <w:r w:rsidR="005D04F0">
        <w:rPr>
          <w:rFonts w:ascii="Arial" w:hAnsi="Arial" w:cs="Arial"/>
          <w:sz w:val="24"/>
          <w:szCs w:val="24"/>
        </w:rPr>
        <w:t>)</w:t>
      </w:r>
      <w:r>
        <w:rPr>
          <w:rFonts w:ascii="Arial" w:hAnsi="Arial" w:cs="Arial"/>
          <w:sz w:val="24"/>
          <w:szCs w:val="24"/>
        </w:rPr>
        <w:t xml:space="preserve">. </w:t>
      </w:r>
    </w:p>
    <w:p w:rsidR="00B70B77" w:rsidRPr="00C02FB5" w:rsidRDefault="00FF33CD" w:rsidP="00B70B77">
      <w:pPr>
        <w:spacing w:line="240" w:lineRule="auto"/>
        <w:ind w:left="-426"/>
        <w:rPr>
          <w:rFonts w:ascii="Arial" w:hAnsi="Arial" w:cs="Arial"/>
          <w:sz w:val="24"/>
          <w:szCs w:val="24"/>
        </w:rPr>
      </w:pPr>
      <w:r>
        <w:rPr>
          <w:rFonts w:ascii="Arial" w:hAnsi="Arial" w:cs="Arial"/>
          <w:sz w:val="24"/>
          <w:szCs w:val="24"/>
        </w:rPr>
        <w:t xml:space="preserve"> </w:t>
      </w:r>
      <w:r w:rsidR="00B70B77">
        <w:rPr>
          <w:rFonts w:ascii="Arial" w:hAnsi="Arial" w:cs="Arial"/>
          <w:sz w:val="24"/>
          <w:szCs w:val="24"/>
        </w:rPr>
        <w:t xml:space="preserve"> </w:t>
      </w:r>
    </w:p>
    <w:p w:rsidR="00FF33CD" w:rsidRDefault="00FF33CD" w:rsidP="00FF33CD">
      <w:pPr>
        <w:spacing w:line="240" w:lineRule="auto"/>
        <w:ind w:left="-426"/>
        <w:rPr>
          <w:rFonts w:ascii="Arial" w:hAnsi="Arial" w:cs="Arial"/>
          <w:bCs/>
          <w:color w:val="000000"/>
          <w:sz w:val="24"/>
          <w:szCs w:val="24"/>
          <w:lang w:eastAsia="es-ES"/>
        </w:rPr>
      </w:pPr>
      <w:r w:rsidRPr="00C02FB5">
        <w:rPr>
          <w:rFonts w:ascii="Arial" w:hAnsi="Arial" w:cs="Arial"/>
          <w:bCs/>
          <w:color w:val="000000"/>
          <w:sz w:val="24"/>
          <w:szCs w:val="24"/>
          <w:lang w:eastAsia="es-ES"/>
        </w:rPr>
        <w:t xml:space="preserve">Las partidas más significativas </w:t>
      </w:r>
      <w:r>
        <w:rPr>
          <w:rFonts w:ascii="Arial" w:hAnsi="Arial" w:cs="Arial"/>
          <w:bCs/>
          <w:color w:val="000000"/>
          <w:sz w:val="24"/>
          <w:szCs w:val="24"/>
          <w:lang w:eastAsia="es-ES"/>
        </w:rPr>
        <w:t xml:space="preserve"> para este rubro </w:t>
      </w:r>
      <w:r w:rsidRPr="00C02FB5">
        <w:rPr>
          <w:rFonts w:ascii="Arial" w:hAnsi="Arial" w:cs="Arial"/>
          <w:bCs/>
          <w:color w:val="000000"/>
          <w:sz w:val="24"/>
          <w:szCs w:val="24"/>
          <w:lang w:eastAsia="es-ES"/>
        </w:rPr>
        <w:t>son las siguientes, y se muestran en miles de colones</w:t>
      </w:r>
    </w:p>
    <w:tbl>
      <w:tblPr>
        <w:tblW w:w="7220" w:type="dxa"/>
        <w:tblCellMar>
          <w:left w:w="70" w:type="dxa"/>
          <w:right w:w="70" w:type="dxa"/>
        </w:tblCellMar>
        <w:tblLook w:val="04A0" w:firstRow="1" w:lastRow="0" w:firstColumn="1" w:lastColumn="0" w:noHBand="0" w:noVBand="1"/>
      </w:tblPr>
      <w:tblGrid>
        <w:gridCol w:w="3580"/>
        <w:gridCol w:w="1820"/>
        <w:gridCol w:w="1820"/>
      </w:tblGrid>
      <w:tr w:rsidR="00F47DD7" w:rsidRPr="00F47DD7" w:rsidTr="00F47DD7">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left"/>
              <w:rPr>
                <w:color w:val="000000"/>
                <w:lang w:eastAsia="es-ES"/>
              </w:rPr>
            </w:pPr>
            <w:r w:rsidRPr="00F47DD7">
              <w:rPr>
                <w:color w:val="000000"/>
                <w:lang w:eastAsia="es-ES"/>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center"/>
              <w:rPr>
                <w:color w:val="000000"/>
                <w:lang w:eastAsia="es-ES"/>
              </w:rPr>
            </w:pPr>
            <w:r w:rsidRPr="00F47DD7">
              <w:rPr>
                <w:color w:val="000000"/>
                <w:lang w:eastAsia="es-ES"/>
              </w:rPr>
              <w:t>Enero 2019</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F47DD7" w:rsidRPr="00F47DD7" w:rsidRDefault="00F47DD7" w:rsidP="00F47DD7">
            <w:pPr>
              <w:spacing w:after="0" w:line="240" w:lineRule="auto"/>
              <w:jc w:val="center"/>
              <w:rPr>
                <w:color w:val="000000"/>
                <w:lang w:eastAsia="es-ES"/>
              </w:rPr>
            </w:pPr>
            <w:r w:rsidRPr="00F47DD7">
              <w:rPr>
                <w:color w:val="000000"/>
                <w:lang w:eastAsia="es-ES"/>
              </w:rPr>
              <w:t>Diciembre 2018</w:t>
            </w:r>
          </w:p>
        </w:tc>
      </w:tr>
      <w:tr w:rsidR="00F47DD7" w:rsidRPr="00F47DD7" w:rsidTr="00F47DD7">
        <w:trPr>
          <w:trHeight w:val="315"/>
        </w:trPr>
        <w:tc>
          <w:tcPr>
            <w:tcW w:w="3580" w:type="dxa"/>
            <w:tcBorders>
              <w:top w:val="nil"/>
              <w:left w:val="single" w:sz="8" w:space="0" w:color="auto"/>
              <w:bottom w:val="single" w:sz="8" w:space="0" w:color="auto"/>
              <w:right w:val="single" w:sz="8" w:space="0" w:color="auto"/>
            </w:tcBorders>
            <w:shd w:val="clear" w:color="auto" w:fill="auto"/>
            <w:vAlign w:val="center"/>
            <w:hideMark/>
          </w:tcPr>
          <w:p w:rsidR="00F47DD7" w:rsidRPr="00F47DD7" w:rsidRDefault="00F47DD7" w:rsidP="00F47DD7">
            <w:pPr>
              <w:spacing w:after="0" w:line="240" w:lineRule="auto"/>
              <w:rPr>
                <w:rFonts w:ascii="Arial" w:hAnsi="Arial" w:cs="Arial"/>
                <w:color w:val="000000"/>
                <w:sz w:val="24"/>
                <w:szCs w:val="24"/>
                <w:lang w:eastAsia="es-ES"/>
              </w:rPr>
            </w:pPr>
            <w:proofErr w:type="spellStart"/>
            <w:r w:rsidRPr="00F47DD7">
              <w:rPr>
                <w:rFonts w:ascii="Arial" w:hAnsi="Arial" w:cs="Arial"/>
                <w:color w:val="000000"/>
                <w:sz w:val="24"/>
                <w:szCs w:val="24"/>
                <w:lang w:eastAsia="es-ES"/>
              </w:rPr>
              <w:t>Decimo</w:t>
            </w:r>
            <w:proofErr w:type="spellEnd"/>
            <w:r w:rsidRPr="00F47DD7">
              <w:rPr>
                <w:rFonts w:ascii="Arial" w:hAnsi="Arial" w:cs="Arial"/>
                <w:color w:val="000000"/>
                <w:sz w:val="24"/>
                <w:szCs w:val="24"/>
                <w:lang w:eastAsia="es-ES"/>
              </w:rPr>
              <w:t xml:space="preserve"> tercer mes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566.247,20</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236.788,29</w:t>
            </w:r>
          </w:p>
        </w:tc>
      </w:tr>
      <w:tr w:rsidR="00F47DD7" w:rsidRPr="00F47DD7" w:rsidTr="00F47DD7">
        <w:trPr>
          <w:trHeight w:val="315"/>
        </w:trPr>
        <w:tc>
          <w:tcPr>
            <w:tcW w:w="3580" w:type="dxa"/>
            <w:tcBorders>
              <w:top w:val="nil"/>
              <w:left w:val="single" w:sz="8" w:space="0" w:color="auto"/>
              <w:bottom w:val="single" w:sz="8" w:space="0" w:color="auto"/>
              <w:right w:val="single" w:sz="8" w:space="0" w:color="auto"/>
            </w:tcBorders>
            <w:shd w:val="clear" w:color="auto" w:fill="auto"/>
            <w:vAlign w:val="center"/>
            <w:hideMark/>
          </w:tcPr>
          <w:p w:rsidR="00F47DD7" w:rsidRPr="00F47DD7" w:rsidRDefault="00F47DD7" w:rsidP="00F47DD7">
            <w:pPr>
              <w:spacing w:after="0" w:line="240" w:lineRule="auto"/>
              <w:rPr>
                <w:rFonts w:ascii="Arial" w:hAnsi="Arial" w:cs="Arial"/>
                <w:color w:val="000000"/>
                <w:sz w:val="24"/>
                <w:szCs w:val="24"/>
                <w:lang w:eastAsia="es-ES"/>
              </w:rPr>
            </w:pPr>
            <w:r w:rsidRPr="00F47DD7">
              <w:rPr>
                <w:rFonts w:ascii="Arial" w:hAnsi="Arial" w:cs="Arial"/>
                <w:color w:val="000000"/>
                <w:sz w:val="24"/>
                <w:szCs w:val="24"/>
                <w:lang w:eastAsia="es-ES"/>
              </w:rPr>
              <w:t>Salario escolar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690.123,60</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6.700.170,46</w:t>
            </w:r>
          </w:p>
        </w:tc>
      </w:tr>
      <w:tr w:rsidR="00F47DD7" w:rsidRPr="00F47DD7" w:rsidTr="00F47DD7">
        <w:trPr>
          <w:trHeight w:val="315"/>
        </w:trPr>
        <w:tc>
          <w:tcPr>
            <w:tcW w:w="3580" w:type="dxa"/>
            <w:tcBorders>
              <w:top w:val="nil"/>
              <w:left w:val="single" w:sz="8" w:space="0" w:color="auto"/>
              <w:bottom w:val="single" w:sz="8" w:space="0" w:color="auto"/>
              <w:right w:val="single" w:sz="8" w:space="0" w:color="auto"/>
            </w:tcBorders>
            <w:shd w:val="clear" w:color="auto" w:fill="auto"/>
            <w:vAlign w:val="center"/>
            <w:hideMark/>
          </w:tcPr>
          <w:p w:rsidR="00F47DD7" w:rsidRPr="00F47DD7" w:rsidRDefault="00F47DD7" w:rsidP="00F47DD7">
            <w:pPr>
              <w:spacing w:after="0" w:line="240" w:lineRule="auto"/>
              <w:rPr>
                <w:rFonts w:ascii="Arial" w:hAnsi="Arial" w:cs="Arial"/>
                <w:color w:val="000000"/>
                <w:sz w:val="24"/>
                <w:szCs w:val="24"/>
                <w:lang w:eastAsia="es-ES"/>
              </w:rPr>
            </w:pPr>
            <w:r w:rsidRPr="00F47DD7">
              <w:rPr>
                <w:rFonts w:ascii="Arial" w:hAnsi="Arial" w:cs="Arial"/>
                <w:color w:val="000000"/>
                <w:sz w:val="24"/>
                <w:szCs w:val="24"/>
                <w:lang w:eastAsia="es-ES"/>
              </w:rPr>
              <w:t>C.C.S.S.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773.799,79</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266.468,63</w:t>
            </w:r>
          </w:p>
        </w:tc>
      </w:tr>
      <w:tr w:rsidR="00F47DD7" w:rsidRPr="00F47DD7" w:rsidTr="00F47DD7">
        <w:trPr>
          <w:trHeight w:val="315"/>
        </w:trPr>
        <w:tc>
          <w:tcPr>
            <w:tcW w:w="3580" w:type="dxa"/>
            <w:tcBorders>
              <w:top w:val="nil"/>
              <w:left w:val="single" w:sz="8" w:space="0" w:color="auto"/>
              <w:bottom w:val="single" w:sz="8" w:space="0" w:color="auto"/>
              <w:right w:val="single" w:sz="8" w:space="0" w:color="auto"/>
            </w:tcBorders>
            <w:shd w:val="clear" w:color="auto" w:fill="auto"/>
            <w:vAlign w:val="center"/>
            <w:hideMark/>
          </w:tcPr>
          <w:p w:rsidR="00F47DD7" w:rsidRPr="00F47DD7" w:rsidRDefault="00F47DD7" w:rsidP="00F47DD7">
            <w:pPr>
              <w:spacing w:after="0" w:line="240" w:lineRule="auto"/>
              <w:rPr>
                <w:rFonts w:ascii="Arial" w:hAnsi="Arial" w:cs="Arial"/>
                <w:color w:val="000000"/>
                <w:sz w:val="24"/>
                <w:szCs w:val="24"/>
                <w:lang w:eastAsia="es-ES"/>
              </w:rPr>
            </w:pPr>
            <w:r w:rsidRPr="00F47DD7">
              <w:rPr>
                <w:rFonts w:ascii="Arial" w:hAnsi="Arial" w:cs="Arial"/>
                <w:color w:val="000000"/>
                <w:sz w:val="24"/>
                <w:szCs w:val="24"/>
                <w:lang w:eastAsia="es-ES"/>
              </w:rPr>
              <w:t>Fondo de Cesantía Institucional</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1.638.812,90</w:t>
            </w:r>
          </w:p>
        </w:tc>
        <w:tc>
          <w:tcPr>
            <w:tcW w:w="1820" w:type="dxa"/>
            <w:tcBorders>
              <w:top w:val="nil"/>
              <w:left w:val="nil"/>
              <w:bottom w:val="single" w:sz="4" w:space="0" w:color="auto"/>
              <w:right w:val="single" w:sz="4" w:space="0" w:color="auto"/>
            </w:tcBorders>
            <w:shd w:val="clear" w:color="auto" w:fill="auto"/>
            <w:noWrap/>
            <w:vAlign w:val="bottom"/>
            <w:hideMark/>
          </w:tcPr>
          <w:p w:rsidR="00F47DD7" w:rsidRPr="00F47DD7" w:rsidRDefault="00F47DD7" w:rsidP="00F47DD7">
            <w:pPr>
              <w:spacing w:after="0" w:line="240" w:lineRule="auto"/>
              <w:jc w:val="right"/>
              <w:rPr>
                <w:color w:val="000000"/>
                <w:lang w:eastAsia="es-ES"/>
              </w:rPr>
            </w:pPr>
            <w:r w:rsidRPr="00F47DD7">
              <w:rPr>
                <w:color w:val="000000"/>
                <w:lang w:eastAsia="es-ES"/>
              </w:rPr>
              <w:t>1.619.037,98</w:t>
            </w:r>
          </w:p>
        </w:tc>
      </w:tr>
    </w:tbl>
    <w:p w:rsidR="000675BF" w:rsidRDefault="000675BF" w:rsidP="00FF33CD">
      <w:pPr>
        <w:spacing w:line="240" w:lineRule="auto"/>
        <w:ind w:left="-426"/>
        <w:rPr>
          <w:rFonts w:ascii="Arial" w:hAnsi="Arial" w:cs="Arial"/>
          <w:bCs/>
          <w:color w:val="000000"/>
          <w:sz w:val="24"/>
          <w:szCs w:val="24"/>
          <w:lang w:eastAsia="es-ES"/>
        </w:rPr>
      </w:pPr>
    </w:p>
    <w:p w:rsidR="003B62BE" w:rsidRPr="00074952" w:rsidRDefault="003B62BE" w:rsidP="001F752F">
      <w:pPr>
        <w:spacing w:line="240" w:lineRule="auto"/>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614902">
        <w:rPr>
          <w:rFonts w:ascii="Arial" w:hAnsi="Arial" w:cs="Arial"/>
          <w:b/>
          <w:bCs/>
          <w:sz w:val="24"/>
          <w:szCs w:val="24"/>
          <w:lang w:eastAsia="es-ES"/>
        </w:rPr>
        <w:t>20</w:t>
      </w:r>
      <w:r w:rsidRPr="00074952">
        <w:rPr>
          <w:rFonts w:ascii="Arial" w:hAnsi="Arial" w:cs="Arial"/>
          <w:b/>
          <w:bCs/>
          <w:sz w:val="24"/>
          <w:szCs w:val="24"/>
          <w:lang w:eastAsia="es-ES"/>
        </w:rPr>
        <w:t xml:space="preserve">  Retenciones por pagar</w:t>
      </w:r>
    </w:p>
    <w:p w:rsidR="00583874" w:rsidRDefault="00583874" w:rsidP="001F752F">
      <w:pPr>
        <w:spacing w:line="240" w:lineRule="auto"/>
        <w:ind w:left="-426"/>
        <w:rPr>
          <w:rFonts w:ascii="Arial" w:hAnsi="Arial" w:cs="Arial"/>
          <w:sz w:val="24"/>
          <w:szCs w:val="24"/>
        </w:rPr>
      </w:pPr>
      <w:r w:rsidRPr="00C02FB5">
        <w:rPr>
          <w:rFonts w:ascii="Arial" w:hAnsi="Arial" w:cs="Arial"/>
          <w:sz w:val="24"/>
          <w:szCs w:val="24"/>
        </w:rPr>
        <w:t xml:space="preserve">Son aquellas cuotas deducidas de los salarios y destinadas al pago de las cargas sociales y otros mandatos que los funcionarios soliciten y que posterior la Institución los traslada a los entes correspondientes.  </w:t>
      </w:r>
    </w:p>
    <w:bookmarkStart w:id="28" w:name="_MON_1451203342"/>
    <w:bookmarkEnd w:id="28"/>
    <w:p w:rsidR="002B2AC6" w:rsidRDefault="00E34F45" w:rsidP="001F752F">
      <w:pPr>
        <w:ind w:left="-426"/>
        <w:rPr>
          <w:rFonts w:ascii="Arial" w:hAnsi="Arial" w:cs="Arial"/>
          <w:b/>
          <w:bCs/>
          <w:sz w:val="24"/>
          <w:szCs w:val="24"/>
          <w:lang w:eastAsia="es-ES"/>
        </w:rPr>
      </w:pPr>
      <w:r w:rsidRPr="00C02FB5">
        <w:rPr>
          <w:rFonts w:ascii="Arial" w:hAnsi="Arial" w:cs="Arial"/>
          <w:sz w:val="24"/>
          <w:szCs w:val="24"/>
        </w:rPr>
        <w:object w:dxaOrig="10187" w:dyaOrig="1036">
          <v:shape id="_x0000_i1042" type="#_x0000_t75" style="width:510pt;height:51pt" o:ole="">
            <v:imagedata r:id="rId42" o:title=""/>
          </v:shape>
          <o:OLEObject Type="Embed" ProgID="Excel.Sheet.8" ShapeID="_x0000_i1042" DrawAspect="Content" ObjectID="_1611577089" r:id="rId43"/>
        </w:object>
      </w:r>
    </w:p>
    <w:p w:rsidR="003B62BE" w:rsidRDefault="003B62BE" w:rsidP="001F752F">
      <w:pPr>
        <w:ind w:left="-426"/>
        <w:rPr>
          <w:rFonts w:ascii="Arial" w:hAnsi="Arial" w:cs="Arial"/>
          <w:b/>
          <w:sz w:val="24"/>
          <w:szCs w:val="24"/>
        </w:rPr>
      </w:pPr>
      <w:r w:rsidRPr="00FF33CD">
        <w:rPr>
          <w:rFonts w:ascii="Arial" w:hAnsi="Arial" w:cs="Arial"/>
          <w:b/>
          <w:sz w:val="24"/>
          <w:szCs w:val="24"/>
        </w:rPr>
        <w:t xml:space="preserve">NOTA No. </w:t>
      </w:r>
      <w:r w:rsidR="001C3B16" w:rsidRPr="00FF33CD">
        <w:rPr>
          <w:rFonts w:ascii="Arial" w:hAnsi="Arial" w:cs="Arial"/>
          <w:b/>
          <w:sz w:val="24"/>
          <w:szCs w:val="24"/>
        </w:rPr>
        <w:t>21</w:t>
      </w:r>
      <w:r w:rsidRPr="00FF33CD">
        <w:rPr>
          <w:rFonts w:ascii="Arial" w:hAnsi="Arial" w:cs="Arial"/>
          <w:b/>
          <w:sz w:val="24"/>
          <w:szCs w:val="24"/>
        </w:rPr>
        <w:t xml:space="preserve">  Gastos</w:t>
      </w:r>
      <w:r w:rsidRPr="00FF33CD">
        <w:rPr>
          <w:rFonts w:ascii="Arial" w:hAnsi="Arial" w:cs="Arial"/>
          <w:b/>
          <w:bCs/>
          <w:color w:val="FF0000"/>
          <w:sz w:val="24"/>
          <w:szCs w:val="24"/>
          <w:lang w:eastAsia="es-ES"/>
        </w:rPr>
        <w:t xml:space="preserve"> </w:t>
      </w:r>
      <w:r w:rsidRPr="00FF33CD">
        <w:rPr>
          <w:rFonts w:ascii="Arial" w:hAnsi="Arial" w:cs="Arial"/>
          <w:b/>
          <w:sz w:val="24"/>
          <w:szCs w:val="24"/>
        </w:rPr>
        <w:t>acumulados por pagar</w:t>
      </w:r>
    </w:p>
    <w:bookmarkStart w:id="29" w:name="_MON_1482925631"/>
    <w:bookmarkEnd w:id="29"/>
    <w:p w:rsidR="001E74B9" w:rsidRDefault="00E34F45" w:rsidP="000675BF">
      <w:pPr>
        <w:ind w:left="-426"/>
        <w:rPr>
          <w:rFonts w:ascii="Arial" w:hAnsi="Arial" w:cs="Arial"/>
          <w:bCs/>
          <w:color w:val="000000"/>
          <w:sz w:val="24"/>
          <w:szCs w:val="24"/>
          <w:lang w:eastAsia="es-ES"/>
        </w:rPr>
      </w:pPr>
      <w:r w:rsidRPr="00C02FB5">
        <w:rPr>
          <w:rFonts w:ascii="Arial" w:hAnsi="Arial" w:cs="Arial"/>
          <w:sz w:val="24"/>
          <w:szCs w:val="24"/>
        </w:rPr>
        <w:object w:dxaOrig="10187" w:dyaOrig="1036">
          <v:shape id="_x0000_i1043" type="#_x0000_t75" style="width:510pt;height:51pt" o:ole="">
            <v:imagedata r:id="rId44" o:title=""/>
          </v:shape>
          <o:OLEObject Type="Embed" ProgID="Excel.Sheet.8" ShapeID="_x0000_i1043" DrawAspect="Content" ObjectID="_1611577090" r:id="rId45"/>
        </w:object>
      </w:r>
      <w:r w:rsidR="000675BF">
        <w:rPr>
          <w:rFonts w:ascii="Arial" w:hAnsi="Arial" w:cs="Arial"/>
          <w:bCs/>
          <w:color w:val="000000"/>
          <w:sz w:val="24"/>
          <w:szCs w:val="24"/>
          <w:lang w:eastAsia="es-ES"/>
        </w:rPr>
        <w:t xml:space="preserve"> </w:t>
      </w:r>
    </w:p>
    <w:p w:rsidR="00FF33CD" w:rsidRDefault="00FF33CD" w:rsidP="001F752F">
      <w:pPr>
        <w:spacing w:line="240" w:lineRule="auto"/>
        <w:ind w:left="-426"/>
        <w:rPr>
          <w:rFonts w:ascii="Arial" w:hAnsi="Arial" w:cs="Arial"/>
          <w:b/>
          <w:color w:val="000000"/>
          <w:sz w:val="24"/>
          <w:szCs w:val="24"/>
        </w:rPr>
      </w:pPr>
    </w:p>
    <w:p w:rsidR="003B62BE" w:rsidRPr="00C02FB5" w:rsidRDefault="003B62BE" w:rsidP="001F752F">
      <w:pPr>
        <w:spacing w:line="240" w:lineRule="auto"/>
        <w:ind w:left="-426"/>
        <w:rPr>
          <w:rFonts w:ascii="Arial" w:hAnsi="Arial" w:cs="Arial"/>
          <w:b/>
          <w:color w:val="000000"/>
          <w:sz w:val="24"/>
          <w:szCs w:val="24"/>
        </w:rPr>
      </w:pPr>
      <w:r w:rsidRPr="00C02FB5">
        <w:rPr>
          <w:rFonts w:ascii="Arial" w:hAnsi="Arial" w:cs="Arial"/>
          <w:b/>
          <w:color w:val="000000"/>
          <w:sz w:val="24"/>
          <w:szCs w:val="24"/>
        </w:rPr>
        <w:t xml:space="preserve">NOTA No. </w:t>
      </w:r>
      <w:r w:rsidR="00563B7C">
        <w:rPr>
          <w:rFonts w:ascii="Arial" w:hAnsi="Arial" w:cs="Arial"/>
          <w:b/>
          <w:color w:val="000000"/>
          <w:sz w:val="24"/>
          <w:szCs w:val="24"/>
        </w:rPr>
        <w:t>22</w:t>
      </w:r>
      <w:r w:rsidRPr="00C02FB5">
        <w:rPr>
          <w:rFonts w:ascii="Arial" w:hAnsi="Arial" w:cs="Arial"/>
          <w:b/>
          <w:color w:val="000000"/>
          <w:sz w:val="24"/>
          <w:szCs w:val="24"/>
        </w:rPr>
        <w:t xml:space="preserve"> Endeudamiento a largo plazo, porción corto plazo</w:t>
      </w:r>
    </w:p>
    <w:p w:rsidR="007528CE" w:rsidRPr="00C02FB5" w:rsidRDefault="001A3F60" w:rsidP="001F752F">
      <w:pPr>
        <w:spacing w:line="240" w:lineRule="auto"/>
        <w:ind w:left="-426"/>
        <w:rPr>
          <w:rFonts w:ascii="Arial" w:hAnsi="Arial" w:cs="Arial"/>
          <w:color w:val="000000"/>
          <w:sz w:val="24"/>
          <w:szCs w:val="24"/>
        </w:rPr>
      </w:pPr>
      <w:r w:rsidRPr="00C02FB5">
        <w:rPr>
          <w:rFonts w:ascii="Arial" w:hAnsi="Arial" w:cs="Arial"/>
          <w:color w:val="000000"/>
          <w:sz w:val="24"/>
          <w:szCs w:val="24"/>
        </w:rPr>
        <w:t xml:space="preserve">Corresponde </w:t>
      </w:r>
      <w:r w:rsidR="00754C52" w:rsidRPr="00C02FB5">
        <w:rPr>
          <w:rFonts w:ascii="Arial" w:hAnsi="Arial" w:cs="Arial"/>
          <w:color w:val="000000"/>
          <w:sz w:val="24"/>
          <w:szCs w:val="24"/>
        </w:rPr>
        <w:t>al monto a pagar en el período, porción a corto plazo de los préstamos otorgados por el Banco Nacional y Banco Popular, para la construcción del Edificio de la Sede Liberia.</w:t>
      </w:r>
      <w:r w:rsidRPr="00C02FB5">
        <w:rPr>
          <w:rFonts w:ascii="Arial" w:hAnsi="Arial" w:cs="Arial"/>
          <w:color w:val="000000"/>
          <w:sz w:val="24"/>
          <w:szCs w:val="24"/>
        </w:rPr>
        <w:t xml:space="preserve"> </w:t>
      </w:r>
    </w:p>
    <w:bookmarkStart w:id="30" w:name="_MON_1419919778"/>
    <w:bookmarkEnd w:id="30"/>
    <w:p w:rsidR="00A075B6" w:rsidRDefault="00E34F45" w:rsidP="001F752F">
      <w:pPr>
        <w:ind w:left="-426"/>
        <w:rPr>
          <w:rFonts w:ascii="Arial" w:hAnsi="Arial" w:cs="Arial"/>
          <w:b/>
          <w:bCs/>
          <w:sz w:val="24"/>
          <w:szCs w:val="24"/>
          <w:lang w:eastAsia="es-ES"/>
        </w:rPr>
      </w:pPr>
      <w:r w:rsidRPr="00C02FB5">
        <w:rPr>
          <w:rFonts w:ascii="Arial" w:hAnsi="Arial" w:cs="Arial"/>
          <w:color w:val="000000"/>
          <w:sz w:val="24"/>
          <w:szCs w:val="24"/>
        </w:rPr>
        <w:object w:dxaOrig="10187" w:dyaOrig="1036">
          <v:shape id="_x0000_i1044" type="#_x0000_t75" style="width:510pt;height:51.75pt" o:ole="">
            <v:imagedata r:id="rId46" o:title=""/>
          </v:shape>
          <o:OLEObject Type="Embed" ProgID="Excel.Sheet.8" ShapeID="_x0000_i1044" DrawAspect="Content" ObjectID="_1611577091" r:id="rId47"/>
        </w:object>
      </w:r>
    </w:p>
    <w:p w:rsidR="003B62BE" w:rsidRDefault="003B62BE" w:rsidP="001F752F">
      <w:pPr>
        <w:ind w:left="-426"/>
        <w:rPr>
          <w:rFonts w:ascii="Arial" w:hAnsi="Arial" w:cs="Arial"/>
          <w:b/>
          <w:bCs/>
          <w:sz w:val="24"/>
          <w:szCs w:val="24"/>
          <w:lang w:eastAsia="es-ES"/>
        </w:rPr>
      </w:pPr>
      <w:r w:rsidRPr="00074952">
        <w:rPr>
          <w:rFonts w:ascii="Arial" w:hAnsi="Arial" w:cs="Arial"/>
          <w:b/>
          <w:bCs/>
          <w:sz w:val="24"/>
          <w:szCs w:val="24"/>
          <w:lang w:eastAsia="es-ES"/>
        </w:rPr>
        <w:t>Pasivo no Corriente</w:t>
      </w:r>
    </w:p>
    <w:p w:rsidR="003B62BE" w:rsidRPr="00074952" w:rsidRDefault="003B62BE"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8F74A7">
        <w:rPr>
          <w:rFonts w:ascii="Arial" w:hAnsi="Arial" w:cs="Arial"/>
          <w:b/>
          <w:bCs/>
          <w:sz w:val="24"/>
          <w:szCs w:val="24"/>
          <w:lang w:eastAsia="es-ES"/>
        </w:rPr>
        <w:t>23</w:t>
      </w:r>
      <w:r w:rsidRPr="00074952">
        <w:rPr>
          <w:rFonts w:ascii="Arial" w:hAnsi="Arial" w:cs="Arial"/>
          <w:b/>
          <w:bCs/>
          <w:sz w:val="24"/>
          <w:szCs w:val="24"/>
          <w:lang w:eastAsia="es-ES"/>
        </w:rPr>
        <w:t xml:space="preserve"> Endeudamiento a largo plazo</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El Banco Nacional y el Banco Popular otorgan  a la Universidad un crédito sindicado por un monto de ¢2.244.600.000.00, para la construcción de la Sede Chorotega, ubicada en Liberia, Guanacaste, el plazo es de 144 meses con un período de gracia y desembolsos de 24 meses incluidos en el plazo establecido. La deuda devengará intereses corrientes anuales, ajustables periódicamente, sobre los saldos de capital, pagaderos por mes anticipado, a una tasa de interés igual a la tasa básica pasiva del Banco Central, más 3.5%.</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Los siguientes montos se muestran en miles de colones</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Banco Nacional</w:t>
      </w:r>
      <w:r w:rsidRPr="00C02FB5">
        <w:rPr>
          <w:rFonts w:ascii="Arial" w:hAnsi="Arial" w:cs="Arial"/>
          <w:sz w:val="24"/>
          <w:szCs w:val="24"/>
        </w:rPr>
        <w:tab/>
      </w:r>
      <w:r w:rsidRPr="00C02FB5">
        <w:rPr>
          <w:rFonts w:ascii="Arial" w:hAnsi="Arial" w:cs="Arial"/>
          <w:sz w:val="24"/>
          <w:szCs w:val="24"/>
        </w:rPr>
        <w:tab/>
        <w:t>¢</w:t>
      </w:r>
      <w:r w:rsidR="000675BF">
        <w:rPr>
          <w:rFonts w:ascii="Arial" w:hAnsi="Arial" w:cs="Arial"/>
          <w:sz w:val="24"/>
          <w:szCs w:val="24"/>
        </w:rPr>
        <w:t>160.369.64</w:t>
      </w:r>
    </w:p>
    <w:p w:rsidR="00660D6C" w:rsidRPr="00C02FB5" w:rsidRDefault="00660D6C" w:rsidP="001F752F">
      <w:pPr>
        <w:spacing w:line="240" w:lineRule="auto"/>
        <w:ind w:left="-426"/>
        <w:rPr>
          <w:rFonts w:ascii="Arial" w:hAnsi="Arial" w:cs="Arial"/>
          <w:sz w:val="24"/>
          <w:szCs w:val="24"/>
        </w:rPr>
      </w:pPr>
      <w:r w:rsidRPr="00C02FB5">
        <w:rPr>
          <w:rFonts w:ascii="Arial" w:hAnsi="Arial" w:cs="Arial"/>
          <w:sz w:val="24"/>
          <w:szCs w:val="24"/>
        </w:rPr>
        <w:t>Banco Popular</w:t>
      </w:r>
      <w:r w:rsidRPr="00C02FB5">
        <w:rPr>
          <w:rFonts w:ascii="Arial" w:hAnsi="Arial" w:cs="Arial"/>
          <w:sz w:val="24"/>
          <w:szCs w:val="24"/>
        </w:rPr>
        <w:tab/>
      </w:r>
      <w:r w:rsidRPr="00C02FB5">
        <w:rPr>
          <w:rFonts w:ascii="Arial" w:hAnsi="Arial" w:cs="Arial"/>
          <w:sz w:val="24"/>
          <w:szCs w:val="24"/>
        </w:rPr>
        <w:tab/>
        <w:t>¢</w:t>
      </w:r>
      <w:r w:rsidR="000675BF">
        <w:rPr>
          <w:rFonts w:ascii="Arial" w:hAnsi="Arial" w:cs="Arial"/>
          <w:sz w:val="24"/>
          <w:szCs w:val="24"/>
        </w:rPr>
        <w:t>323.796.04</w:t>
      </w:r>
    </w:p>
    <w:bookmarkStart w:id="31" w:name="_MON_1574578134"/>
    <w:bookmarkEnd w:id="31"/>
    <w:p w:rsidR="00331DA6" w:rsidRDefault="00E34F45" w:rsidP="001F752F">
      <w:pPr>
        <w:spacing w:line="240" w:lineRule="auto"/>
        <w:ind w:left="-426"/>
        <w:rPr>
          <w:rFonts w:ascii="Arial" w:hAnsi="Arial" w:cs="Arial"/>
          <w:sz w:val="24"/>
          <w:szCs w:val="24"/>
        </w:rPr>
      </w:pPr>
      <w:r w:rsidRPr="00C02FB5">
        <w:rPr>
          <w:rFonts w:ascii="Arial" w:hAnsi="Arial" w:cs="Arial"/>
          <w:sz w:val="24"/>
          <w:szCs w:val="24"/>
        </w:rPr>
        <w:object w:dxaOrig="10187" w:dyaOrig="1036">
          <v:shape id="_x0000_i1045" type="#_x0000_t75" style="width:510pt;height:51pt" o:ole="">
            <v:imagedata r:id="rId48" o:title=""/>
          </v:shape>
          <o:OLEObject Type="Embed" ProgID="Excel.Sheet.8" ShapeID="_x0000_i1045" DrawAspect="Content" ObjectID="_1611577092" r:id="rId49"/>
        </w:object>
      </w:r>
    </w:p>
    <w:p w:rsidR="003B62BE" w:rsidRPr="00C02FB5" w:rsidRDefault="008135C0" w:rsidP="005D4EA3">
      <w:pPr>
        <w:spacing w:line="240" w:lineRule="auto"/>
        <w:ind w:left="-426"/>
        <w:rPr>
          <w:rFonts w:ascii="Arial" w:hAnsi="Arial" w:cs="Arial"/>
          <w:b/>
          <w:bCs/>
          <w:sz w:val="24"/>
          <w:szCs w:val="24"/>
          <w:lang w:eastAsia="es-ES"/>
        </w:rPr>
      </w:pPr>
      <w:r w:rsidRPr="00C02FB5">
        <w:rPr>
          <w:rFonts w:ascii="Arial" w:hAnsi="Arial" w:cs="Arial"/>
          <w:sz w:val="24"/>
          <w:szCs w:val="24"/>
        </w:rPr>
        <w:t xml:space="preserve"> </w:t>
      </w:r>
      <w:r w:rsidR="003B62BE" w:rsidRPr="00C02FB5">
        <w:rPr>
          <w:rFonts w:ascii="Arial" w:hAnsi="Arial" w:cs="Arial"/>
          <w:b/>
          <w:bCs/>
          <w:sz w:val="24"/>
          <w:szCs w:val="24"/>
          <w:lang w:eastAsia="es-ES"/>
        </w:rPr>
        <w:t xml:space="preserve">NOTA No. </w:t>
      </w:r>
      <w:r w:rsidR="003E7350">
        <w:rPr>
          <w:rFonts w:ascii="Arial" w:hAnsi="Arial" w:cs="Arial"/>
          <w:b/>
          <w:bCs/>
          <w:sz w:val="24"/>
          <w:szCs w:val="24"/>
          <w:lang w:eastAsia="es-ES"/>
        </w:rPr>
        <w:t>24</w:t>
      </w:r>
      <w:r w:rsidR="003B62BE" w:rsidRPr="00C02FB5">
        <w:rPr>
          <w:rFonts w:ascii="Arial" w:hAnsi="Arial" w:cs="Arial"/>
          <w:b/>
          <w:bCs/>
          <w:sz w:val="24"/>
          <w:szCs w:val="24"/>
          <w:lang w:eastAsia="es-ES"/>
        </w:rPr>
        <w:t xml:space="preserve"> Otras cuentas del pasivo</w:t>
      </w:r>
    </w:p>
    <w:bookmarkStart w:id="32" w:name="_MON_1419927222"/>
    <w:bookmarkEnd w:id="32"/>
    <w:p w:rsidR="00512FDB" w:rsidRPr="00141151" w:rsidRDefault="00E34F45" w:rsidP="001F752F">
      <w:pPr>
        <w:ind w:left="-426"/>
        <w:rPr>
          <w:rFonts w:ascii="Arial" w:hAnsi="Arial" w:cs="Arial"/>
          <w:bCs/>
          <w:color w:val="000000"/>
          <w:sz w:val="24"/>
          <w:szCs w:val="24"/>
          <w:lang w:eastAsia="es-ES"/>
        </w:rPr>
      </w:pPr>
      <w:r w:rsidRPr="00C02FB5">
        <w:rPr>
          <w:rFonts w:ascii="Arial" w:hAnsi="Arial" w:cs="Arial"/>
          <w:sz w:val="24"/>
          <w:szCs w:val="24"/>
        </w:rPr>
        <w:object w:dxaOrig="10187" w:dyaOrig="1036">
          <v:shape id="_x0000_i1046" type="#_x0000_t75" style="width:510pt;height:51pt" o:ole="">
            <v:imagedata r:id="rId50" o:title=""/>
          </v:shape>
          <o:OLEObject Type="Embed" ProgID="Excel.Sheet.8" ShapeID="_x0000_i1046" DrawAspect="Content" ObjectID="_1611577093" r:id="rId51"/>
        </w:object>
      </w:r>
      <w:r w:rsidR="003B62BE" w:rsidRPr="00C02FB5">
        <w:rPr>
          <w:rFonts w:ascii="Arial" w:hAnsi="Arial" w:cs="Arial"/>
          <w:b/>
          <w:bCs/>
          <w:color w:val="0070C0"/>
          <w:sz w:val="24"/>
          <w:szCs w:val="24"/>
          <w:lang w:eastAsia="es-ES"/>
        </w:rPr>
        <w:t xml:space="preserve"> </w:t>
      </w:r>
      <w:r w:rsidR="00512FDB" w:rsidRPr="00141151">
        <w:rPr>
          <w:rFonts w:ascii="Arial" w:hAnsi="Arial" w:cs="Arial"/>
          <w:bCs/>
          <w:color w:val="000000"/>
          <w:sz w:val="24"/>
          <w:szCs w:val="24"/>
          <w:lang w:eastAsia="es-ES"/>
        </w:rPr>
        <w:t xml:space="preserve">Este rubro corresponde a dinero que se ha recibido y que está pendiente de </w:t>
      </w:r>
      <w:r w:rsidR="00141151" w:rsidRPr="00141151">
        <w:rPr>
          <w:rFonts w:ascii="Arial" w:hAnsi="Arial" w:cs="Arial"/>
          <w:bCs/>
          <w:color w:val="000000"/>
          <w:sz w:val="24"/>
          <w:szCs w:val="24"/>
          <w:lang w:eastAsia="es-ES"/>
        </w:rPr>
        <w:t>contabilizar ya sea como ingresos o bien como amortización de cuentas por cobrar</w:t>
      </w:r>
      <w:r w:rsidR="00141151">
        <w:rPr>
          <w:rFonts w:ascii="Arial" w:hAnsi="Arial" w:cs="Arial"/>
          <w:bCs/>
          <w:color w:val="000000"/>
          <w:sz w:val="24"/>
          <w:szCs w:val="24"/>
          <w:lang w:eastAsia="es-ES"/>
        </w:rPr>
        <w:t>.</w:t>
      </w:r>
    </w:p>
    <w:p w:rsidR="007962C0" w:rsidRDefault="007962C0" w:rsidP="001F752F">
      <w:pPr>
        <w:ind w:left="-426"/>
        <w:rPr>
          <w:rFonts w:ascii="Arial" w:hAnsi="Arial" w:cs="Arial"/>
          <w:b/>
          <w:bCs/>
          <w:sz w:val="24"/>
          <w:szCs w:val="24"/>
          <w:lang w:eastAsia="es-ES"/>
        </w:rPr>
      </w:pPr>
    </w:p>
    <w:p w:rsidR="003B62BE" w:rsidRPr="00C02FB5" w:rsidRDefault="003B62BE" w:rsidP="001F752F">
      <w:pPr>
        <w:ind w:left="-426"/>
        <w:rPr>
          <w:rFonts w:ascii="Arial" w:hAnsi="Arial" w:cs="Arial"/>
          <w:b/>
          <w:bCs/>
          <w:sz w:val="24"/>
          <w:szCs w:val="24"/>
          <w:lang w:eastAsia="es-ES"/>
        </w:rPr>
      </w:pPr>
      <w:r w:rsidRPr="00C02FB5">
        <w:rPr>
          <w:rFonts w:ascii="Arial" w:hAnsi="Arial" w:cs="Arial"/>
          <w:b/>
          <w:bCs/>
          <w:sz w:val="24"/>
          <w:szCs w:val="24"/>
          <w:lang w:eastAsia="es-ES"/>
        </w:rPr>
        <w:t xml:space="preserve">NOTA No. </w:t>
      </w:r>
      <w:r w:rsidR="00697735">
        <w:rPr>
          <w:rFonts w:ascii="Arial" w:hAnsi="Arial" w:cs="Arial"/>
          <w:b/>
          <w:bCs/>
          <w:sz w:val="24"/>
          <w:szCs w:val="24"/>
          <w:lang w:eastAsia="es-ES"/>
        </w:rPr>
        <w:t>25</w:t>
      </w:r>
      <w:r w:rsidRPr="00C02FB5">
        <w:rPr>
          <w:rFonts w:ascii="Arial" w:hAnsi="Arial" w:cs="Arial"/>
          <w:b/>
          <w:bCs/>
          <w:sz w:val="24"/>
          <w:szCs w:val="24"/>
          <w:lang w:eastAsia="es-ES"/>
        </w:rPr>
        <w:t xml:space="preserve"> Hacienda publica</w:t>
      </w:r>
    </w:p>
    <w:p w:rsidR="00576DFE" w:rsidRPr="00C02FB5" w:rsidRDefault="00576DFE" w:rsidP="001F752F">
      <w:pPr>
        <w:spacing w:line="240" w:lineRule="auto"/>
        <w:ind w:left="-426"/>
        <w:rPr>
          <w:rFonts w:ascii="Arial" w:hAnsi="Arial" w:cs="Arial"/>
          <w:sz w:val="24"/>
          <w:szCs w:val="24"/>
        </w:rPr>
      </w:pPr>
      <w:r w:rsidRPr="00C02FB5">
        <w:rPr>
          <w:rFonts w:ascii="Arial" w:hAnsi="Arial" w:cs="Arial"/>
          <w:bCs/>
          <w:color w:val="000000"/>
          <w:sz w:val="24"/>
          <w:szCs w:val="24"/>
          <w:lang w:eastAsia="es-ES"/>
        </w:rPr>
        <w:t>Está conformada por contribuciones y donaciones tanto de entes internos como el Gobierno Central, Ministerio de Planificación, Privados y  ent</w:t>
      </w:r>
      <w:r w:rsidR="00C67C76">
        <w:rPr>
          <w:rFonts w:ascii="Arial" w:hAnsi="Arial" w:cs="Arial"/>
          <w:bCs/>
          <w:color w:val="000000"/>
          <w:sz w:val="24"/>
          <w:szCs w:val="24"/>
          <w:lang w:eastAsia="es-ES"/>
        </w:rPr>
        <w:t xml:space="preserve">es externos como el BID, BCEI, </w:t>
      </w:r>
      <w:r w:rsidRPr="00C02FB5">
        <w:rPr>
          <w:rFonts w:ascii="Arial" w:hAnsi="Arial" w:cs="Arial"/>
          <w:bCs/>
          <w:color w:val="000000"/>
          <w:sz w:val="24"/>
          <w:szCs w:val="24"/>
          <w:lang w:eastAsia="es-ES"/>
        </w:rPr>
        <w:t>otros organismos internacionales</w:t>
      </w:r>
      <w:r w:rsidR="00C67C76">
        <w:rPr>
          <w:rFonts w:ascii="Arial" w:hAnsi="Arial" w:cs="Arial"/>
          <w:bCs/>
          <w:color w:val="000000"/>
          <w:sz w:val="24"/>
          <w:szCs w:val="24"/>
          <w:lang w:eastAsia="es-ES"/>
        </w:rPr>
        <w:t xml:space="preserve"> y el Capital Inicial</w:t>
      </w:r>
    </w:p>
    <w:bookmarkStart w:id="33" w:name="_MON_1419927680"/>
    <w:bookmarkEnd w:id="33"/>
    <w:p w:rsidR="000A317C" w:rsidRDefault="00E34F45" w:rsidP="00C158AF">
      <w:pPr>
        <w:ind w:left="-426"/>
        <w:rPr>
          <w:rFonts w:ascii="Arial" w:hAnsi="Arial" w:cs="Arial"/>
          <w:b/>
          <w:bCs/>
          <w:color w:val="948A54"/>
          <w:sz w:val="24"/>
          <w:szCs w:val="24"/>
          <w:lang w:eastAsia="es-ES"/>
        </w:rPr>
      </w:pPr>
      <w:r w:rsidRPr="00C02FB5">
        <w:rPr>
          <w:rFonts w:ascii="Arial" w:hAnsi="Arial" w:cs="Arial"/>
          <w:sz w:val="24"/>
          <w:szCs w:val="24"/>
        </w:rPr>
        <w:object w:dxaOrig="9660" w:dyaOrig="1155">
          <v:shape id="_x0000_i1047" type="#_x0000_t75" style="width:483.75pt;height:57.75pt" o:ole="">
            <v:imagedata r:id="rId52" o:title=""/>
          </v:shape>
          <o:OLEObject Type="Embed" ProgID="Excel.Sheet.8" ShapeID="_x0000_i1047" DrawAspect="Content" ObjectID="_1611577094" r:id="rId53"/>
        </w:object>
      </w:r>
    </w:p>
    <w:tbl>
      <w:tblPr>
        <w:tblW w:w="7040" w:type="dxa"/>
        <w:tblInd w:w="56" w:type="dxa"/>
        <w:tblCellMar>
          <w:left w:w="70" w:type="dxa"/>
          <w:right w:w="70" w:type="dxa"/>
        </w:tblCellMar>
        <w:tblLook w:val="04A0" w:firstRow="1" w:lastRow="0" w:firstColumn="1" w:lastColumn="0" w:noHBand="0" w:noVBand="1"/>
      </w:tblPr>
      <w:tblGrid>
        <w:gridCol w:w="1640"/>
        <w:gridCol w:w="1940"/>
        <w:gridCol w:w="1820"/>
        <w:gridCol w:w="1640"/>
      </w:tblGrid>
      <w:tr w:rsidR="008F7A4D" w:rsidRPr="00D3190E" w:rsidTr="00C158AF">
        <w:trPr>
          <w:trHeight w:val="300"/>
        </w:trPr>
        <w:tc>
          <w:tcPr>
            <w:tcW w:w="358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DESCRIPCION</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rsidR="008F7A4D" w:rsidRPr="00D3190E" w:rsidRDefault="00E34F45" w:rsidP="00E34F45">
            <w:pPr>
              <w:spacing w:after="0" w:line="240" w:lineRule="auto"/>
              <w:jc w:val="center"/>
              <w:rPr>
                <w:color w:val="000000"/>
                <w:lang w:val="es-CR" w:eastAsia="es-CR"/>
              </w:rPr>
            </w:pPr>
            <w:r>
              <w:rPr>
                <w:color w:val="000000"/>
                <w:lang w:val="es-CR" w:eastAsia="es-CR"/>
              </w:rPr>
              <w:t>Enero 2019</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rsidR="008F7A4D" w:rsidRPr="00D3190E" w:rsidRDefault="008F7A4D" w:rsidP="00E34F45">
            <w:pPr>
              <w:spacing w:after="0" w:line="240" w:lineRule="auto"/>
              <w:jc w:val="right"/>
              <w:rPr>
                <w:color w:val="000000"/>
                <w:lang w:val="es-CR" w:eastAsia="es-CR"/>
              </w:rPr>
            </w:pPr>
            <w:r>
              <w:rPr>
                <w:color w:val="000000"/>
                <w:lang w:val="es-CR" w:eastAsia="es-CR"/>
              </w:rPr>
              <w:t>Diciembre 201</w:t>
            </w:r>
            <w:r w:rsidR="00E34F45">
              <w:rPr>
                <w:color w:val="000000"/>
                <w:lang w:val="es-CR" w:eastAsia="es-CR"/>
              </w:rPr>
              <w:t>8</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SUPERAVIT POR DONACION</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1.730.058,32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1.730.058,32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BANCO INTERAM.DONAC</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554.087,21</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554.087,21</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BCIE</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154.541,22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154.541,22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MIDEPLAN</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15.000,00</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15.000,00</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DONACION  HACIENDA- BCIE</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6.035.428,52</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6.035.428,52</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r>
              <w:rPr>
                <w:color w:val="000000"/>
                <w:lang w:val="es-CR" w:eastAsia="es-CR"/>
              </w:rPr>
              <w:t>CAPITAL INICIAL</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523,81</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r>
              <w:rPr>
                <w:color w:val="000000"/>
                <w:lang w:val="es-CR" w:eastAsia="es-CR"/>
              </w:rPr>
              <w:t xml:space="preserve">               </w:t>
            </w:r>
            <w:r w:rsidRPr="00D3190E">
              <w:rPr>
                <w:color w:val="000000"/>
                <w:lang w:val="es-CR" w:eastAsia="es-CR"/>
              </w:rPr>
              <w:t>523,81</w:t>
            </w:r>
          </w:p>
        </w:tc>
      </w:tr>
      <w:tr w:rsidR="008F7A4D" w:rsidRPr="00D3190E" w:rsidTr="00C158AF">
        <w:trPr>
          <w:trHeight w:val="300"/>
        </w:trPr>
        <w:tc>
          <w:tcPr>
            <w:tcW w:w="3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left"/>
              <w:rPr>
                <w:color w:val="000000"/>
                <w:lang w:val="es-CR" w:eastAsia="es-CR"/>
              </w:rPr>
            </w:pPr>
            <w:r w:rsidRPr="00D3190E">
              <w:rPr>
                <w:color w:val="000000"/>
                <w:lang w:val="es-CR" w:eastAsia="es-CR"/>
              </w:rPr>
              <w:t> </w:t>
            </w:r>
          </w:p>
        </w:tc>
        <w:tc>
          <w:tcPr>
            <w:tcW w:w="182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8.489.639,07</w:t>
            </w:r>
          </w:p>
        </w:tc>
        <w:tc>
          <w:tcPr>
            <w:tcW w:w="1640" w:type="dxa"/>
            <w:tcBorders>
              <w:top w:val="nil"/>
              <w:left w:val="nil"/>
              <w:bottom w:val="single" w:sz="4" w:space="0" w:color="auto"/>
              <w:right w:val="single" w:sz="4" w:space="0" w:color="auto"/>
            </w:tcBorders>
            <w:shd w:val="clear" w:color="auto" w:fill="auto"/>
            <w:noWrap/>
            <w:vAlign w:val="bottom"/>
            <w:hideMark/>
          </w:tcPr>
          <w:p w:rsidR="008F7A4D" w:rsidRPr="00D3190E" w:rsidRDefault="008F7A4D" w:rsidP="00DF5336">
            <w:pPr>
              <w:spacing w:after="0" w:line="240" w:lineRule="auto"/>
              <w:jc w:val="right"/>
              <w:rPr>
                <w:color w:val="000000"/>
                <w:lang w:val="es-CR" w:eastAsia="es-CR"/>
              </w:rPr>
            </w:pPr>
            <w:r w:rsidRPr="00D3190E">
              <w:rPr>
                <w:color w:val="000000"/>
                <w:lang w:val="es-CR" w:eastAsia="es-CR"/>
              </w:rPr>
              <w:t>8.489.639,07</w:t>
            </w:r>
          </w:p>
        </w:tc>
      </w:tr>
      <w:tr w:rsidR="00C158AF" w:rsidRPr="00D3190E" w:rsidTr="00C158AF">
        <w:trPr>
          <w:gridAfter w:val="3"/>
          <w:wAfter w:w="5400" w:type="dxa"/>
          <w:trHeight w:val="300"/>
        </w:trPr>
        <w:tc>
          <w:tcPr>
            <w:tcW w:w="1640" w:type="dxa"/>
            <w:tcBorders>
              <w:top w:val="nil"/>
              <w:left w:val="nil"/>
              <w:bottom w:val="nil"/>
              <w:right w:val="nil"/>
            </w:tcBorders>
            <w:shd w:val="clear" w:color="auto" w:fill="auto"/>
            <w:noWrap/>
            <w:vAlign w:val="bottom"/>
            <w:hideMark/>
          </w:tcPr>
          <w:p w:rsidR="00C158AF" w:rsidRPr="00D3190E" w:rsidRDefault="00C158AF" w:rsidP="001F752F">
            <w:pPr>
              <w:spacing w:after="0" w:line="240" w:lineRule="auto"/>
              <w:ind w:left="-426"/>
              <w:jc w:val="left"/>
              <w:rPr>
                <w:color w:val="000000"/>
                <w:lang w:val="es-CR" w:eastAsia="es-CR"/>
              </w:rPr>
            </w:pPr>
          </w:p>
        </w:tc>
      </w:tr>
    </w:tbl>
    <w:p w:rsidR="003B62BE" w:rsidRPr="00C02FB5" w:rsidRDefault="003B62BE" w:rsidP="001F752F">
      <w:pPr>
        <w:ind w:left="-426"/>
        <w:rPr>
          <w:rFonts w:ascii="Arial" w:hAnsi="Arial" w:cs="Arial"/>
          <w:b/>
          <w:bCs/>
          <w:sz w:val="24"/>
          <w:szCs w:val="24"/>
          <w:lang w:eastAsia="es-ES"/>
        </w:rPr>
      </w:pPr>
      <w:r w:rsidRPr="00C02FB5">
        <w:rPr>
          <w:rFonts w:ascii="Arial" w:hAnsi="Arial" w:cs="Arial"/>
          <w:b/>
          <w:bCs/>
          <w:sz w:val="24"/>
          <w:szCs w:val="24"/>
          <w:lang w:eastAsia="es-ES"/>
        </w:rPr>
        <w:t xml:space="preserve">NOTA No. </w:t>
      </w:r>
      <w:r w:rsidR="00E56E4D">
        <w:rPr>
          <w:rFonts w:ascii="Arial" w:hAnsi="Arial" w:cs="Arial"/>
          <w:b/>
          <w:bCs/>
          <w:sz w:val="24"/>
          <w:szCs w:val="24"/>
          <w:lang w:eastAsia="es-ES"/>
        </w:rPr>
        <w:t>26</w:t>
      </w:r>
      <w:r w:rsidRPr="00C02FB5">
        <w:rPr>
          <w:rFonts w:ascii="Arial" w:hAnsi="Arial" w:cs="Arial"/>
          <w:b/>
          <w:bCs/>
          <w:sz w:val="24"/>
          <w:szCs w:val="24"/>
          <w:lang w:eastAsia="es-ES"/>
        </w:rPr>
        <w:t xml:space="preserve"> Resultados acumulados</w:t>
      </w:r>
    </w:p>
    <w:p w:rsidR="00D1604E" w:rsidRPr="00C02FB5" w:rsidRDefault="00D1604E" w:rsidP="001F752F">
      <w:pPr>
        <w:spacing w:line="240" w:lineRule="auto"/>
        <w:ind w:left="-426"/>
        <w:rPr>
          <w:rFonts w:ascii="Arial" w:hAnsi="Arial" w:cs="Arial"/>
          <w:sz w:val="24"/>
          <w:szCs w:val="24"/>
        </w:rPr>
      </w:pPr>
      <w:r w:rsidRPr="00C02FB5">
        <w:rPr>
          <w:rFonts w:ascii="Arial" w:hAnsi="Arial" w:cs="Arial"/>
          <w:sz w:val="24"/>
          <w:szCs w:val="24"/>
        </w:rPr>
        <w:t>Monto correspondiente a resultados acumulados provenientes de ejercicios anteriores de la institución.</w:t>
      </w:r>
    </w:p>
    <w:bookmarkStart w:id="34" w:name="_MON_1419933699"/>
    <w:bookmarkEnd w:id="34"/>
    <w:p w:rsidR="003B62BE" w:rsidRDefault="00E34F45" w:rsidP="001F752F">
      <w:pPr>
        <w:ind w:left="-426"/>
        <w:rPr>
          <w:rFonts w:ascii="Arial" w:hAnsi="Arial" w:cs="Arial"/>
          <w:color w:val="000000"/>
          <w:sz w:val="24"/>
          <w:szCs w:val="24"/>
          <w:lang w:val="es-CR"/>
        </w:rPr>
      </w:pPr>
      <w:r w:rsidRPr="00C02FB5">
        <w:rPr>
          <w:rFonts w:ascii="Arial" w:hAnsi="Arial" w:cs="Arial"/>
          <w:color w:val="000000"/>
          <w:sz w:val="24"/>
          <w:szCs w:val="24"/>
          <w:lang w:val="es-CR"/>
        </w:rPr>
        <w:object w:dxaOrig="10187" w:dyaOrig="1122">
          <v:shape id="_x0000_i1048" type="#_x0000_t75" style="width:510pt;height:56.25pt" o:ole="">
            <v:imagedata r:id="rId54" o:title=""/>
          </v:shape>
          <o:OLEObject Type="Embed" ProgID="Excel.Sheet.8" ShapeID="_x0000_i1048" DrawAspect="Content" ObjectID="_1611577095" r:id="rId55"/>
        </w:object>
      </w:r>
    </w:p>
    <w:p w:rsidR="003B62BE" w:rsidRPr="00C02FB5" w:rsidRDefault="003B62BE" w:rsidP="001F752F">
      <w:pPr>
        <w:ind w:left="-426"/>
        <w:rPr>
          <w:rFonts w:ascii="Arial" w:hAnsi="Arial" w:cs="Arial"/>
          <w:b/>
          <w:sz w:val="24"/>
          <w:szCs w:val="24"/>
        </w:rPr>
      </w:pPr>
      <w:r w:rsidRPr="00C02FB5">
        <w:rPr>
          <w:rFonts w:ascii="Arial" w:hAnsi="Arial" w:cs="Arial"/>
          <w:b/>
          <w:sz w:val="24"/>
          <w:szCs w:val="24"/>
        </w:rPr>
        <w:t xml:space="preserve">NOTA No. </w:t>
      </w:r>
      <w:r w:rsidR="00634C25">
        <w:rPr>
          <w:rFonts w:ascii="Arial" w:hAnsi="Arial" w:cs="Arial"/>
          <w:b/>
          <w:sz w:val="24"/>
          <w:szCs w:val="24"/>
        </w:rPr>
        <w:t>27</w:t>
      </w:r>
      <w:r w:rsidRPr="00C02FB5">
        <w:rPr>
          <w:rFonts w:ascii="Arial" w:hAnsi="Arial" w:cs="Arial"/>
          <w:b/>
          <w:sz w:val="24"/>
          <w:szCs w:val="24"/>
        </w:rPr>
        <w:t xml:space="preserve"> Resultados del periodo</w:t>
      </w:r>
    </w:p>
    <w:p w:rsidR="00D1604E" w:rsidRDefault="00D1604E" w:rsidP="001F752F">
      <w:pPr>
        <w:spacing w:line="240" w:lineRule="auto"/>
        <w:ind w:left="-426"/>
        <w:rPr>
          <w:rFonts w:ascii="Arial" w:hAnsi="Arial" w:cs="Arial"/>
          <w:sz w:val="24"/>
          <w:szCs w:val="24"/>
        </w:rPr>
      </w:pPr>
      <w:r w:rsidRPr="00C02FB5">
        <w:rPr>
          <w:rFonts w:ascii="Arial" w:hAnsi="Arial" w:cs="Arial"/>
          <w:sz w:val="24"/>
          <w:szCs w:val="24"/>
        </w:rPr>
        <w:t>Corresponde al Superávit obtenido, por la diferencia entre los ingresos y gastos de la institución, durante el período 201</w:t>
      </w:r>
      <w:r w:rsidR="00F47DD7">
        <w:rPr>
          <w:rFonts w:ascii="Arial" w:hAnsi="Arial" w:cs="Arial"/>
          <w:sz w:val="24"/>
          <w:szCs w:val="24"/>
        </w:rPr>
        <w:t>9</w:t>
      </w:r>
      <w:r w:rsidRPr="00C02FB5">
        <w:rPr>
          <w:rFonts w:ascii="Arial" w:hAnsi="Arial" w:cs="Arial"/>
          <w:sz w:val="24"/>
          <w:szCs w:val="24"/>
        </w:rPr>
        <w:t>.</w:t>
      </w:r>
    </w:p>
    <w:bookmarkStart w:id="35" w:name="_MON_1451214390"/>
    <w:bookmarkEnd w:id="35"/>
    <w:p w:rsidR="005D27EE" w:rsidRDefault="00E34F45" w:rsidP="001F752F">
      <w:pPr>
        <w:spacing w:line="240" w:lineRule="auto"/>
        <w:ind w:left="-426"/>
        <w:rPr>
          <w:rFonts w:ascii="Arial" w:hAnsi="Arial" w:cs="Arial"/>
          <w:sz w:val="24"/>
          <w:szCs w:val="24"/>
        </w:rPr>
      </w:pPr>
      <w:r w:rsidRPr="00C02FB5">
        <w:rPr>
          <w:rFonts w:ascii="Arial" w:hAnsi="Arial" w:cs="Arial"/>
          <w:color w:val="000000"/>
          <w:sz w:val="24"/>
          <w:szCs w:val="24"/>
          <w:lang w:val="es-CR"/>
        </w:rPr>
        <w:object w:dxaOrig="10187" w:dyaOrig="1122">
          <v:shape id="_x0000_i1049" type="#_x0000_t75" style="width:510pt;height:56.25pt" o:ole="">
            <v:imagedata r:id="rId56" o:title=""/>
          </v:shape>
          <o:OLEObject Type="Embed" ProgID="Excel.Sheet.8" ShapeID="_x0000_i1049" DrawAspect="Content" ObjectID="_1611577096" r:id="rId57"/>
        </w:object>
      </w:r>
    </w:p>
    <w:p w:rsidR="00E11AD1" w:rsidRDefault="00E11AD1" w:rsidP="001F752F">
      <w:pPr>
        <w:ind w:left="-426"/>
        <w:rPr>
          <w:rFonts w:ascii="Arial" w:hAnsi="Arial" w:cs="Arial"/>
          <w:b/>
          <w:bCs/>
          <w:sz w:val="24"/>
          <w:szCs w:val="24"/>
          <w:lang w:eastAsia="es-ES"/>
        </w:rPr>
      </w:pPr>
      <w:r w:rsidRPr="00074952">
        <w:rPr>
          <w:rFonts w:ascii="Arial" w:hAnsi="Arial" w:cs="Arial"/>
          <w:b/>
          <w:bCs/>
          <w:sz w:val="24"/>
          <w:szCs w:val="24"/>
          <w:lang w:eastAsia="es-ES"/>
        </w:rPr>
        <w:t xml:space="preserve">NOTA No. </w:t>
      </w:r>
      <w:r w:rsidR="00902DC6">
        <w:rPr>
          <w:rFonts w:ascii="Arial" w:hAnsi="Arial" w:cs="Arial"/>
          <w:b/>
          <w:bCs/>
          <w:sz w:val="24"/>
          <w:szCs w:val="24"/>
          <w:lang w:eastAsia="es-ES"/>
        </w:rPr>
        <w:t xml:space="preserve">28 </w:t>
      </w:r>
      <w:r>
        <w:rPr>
          <w:rFonts w:ascii="Arial" w:hAnsi="Arial" w:cs="Arial"/>
          <w:b/>
          <w:bCs/>
          <w:sz w:val="24"/>
          <w:szCs w:val="24"/>
          <w:lang w:eastAsia="es-ES"/>
        </w:rPr>
        <w:t xml:space="preserve"> Cambios en el patrimonio</w:t>
      </w:r>
    </w:p>
    <w:p w:rsidR="00E34F45" w:rsidRDefault="00CC0193" w:rsidP="001F752F">
      <w:pPr>
        <w:ind w:left="-426"/>
        <w:rPr>
          <w:rFonts w:ascii="Arial" w:hAnsi="Arial" w:cs="Arial"/>
          <w:sz w:val="24"/>
          <w:szCs w:val="24"/>
        </w:rPr>
      </w:pPr>
      <w:r w:rsidRPr="004513AD">
        <w:rPr>
          <w:rFonts w:ascii="Arial" w:hAnsi="Arial" w:cs="Arial"/>
          <w:sz w:val="24"/>
          <w:szCs w:val="24"/>
        </w:rPr>
        <w:t>El aju</w:t>
      </w:r>
      <w:r w:rsidR="00191E88" w:rsidRPr="004513AD">
        <w:rPr>
          <w:rFonts w:ascii="Arial" w:hAnsi="Arial" w:cs="Arial"/>
          <w:sz w:val="24"/>
          <w:szCs w:val="24"/>
        </w:rPr>
        <w:t xml:space="preserve">ste que se muestra en el Estado de Cambios en el Patrimonio por un monto de </w:t>
      </w:r>
      <w:r w:rsidR="00E34F45">
        <w:rPr>
          <w:rFonts w:ascii="Arial" w:hAnsi="Arial" w:cs="Arial"/>
          <w:sz w:val="24"/>
          <w:szCs w:val="24"/>
        </w:rPr>
        <w:t>¢534.564.54</w:t>
      </w:r>
      <w:r w:rsidR="00191E88" w:rsidRPr="004513AD">
        <w:rPr>
          <w:rFonts w:ascii="Arial" w:hAnsi="Arial" w:cs="Arial"/>
          <w:sz w:val="24"/>
          <w:szCs w:val="24"/>
        </w:rPr>
        <w:t xml:space="preserve"> </w:t>
      </w:r>
      <w:r w:rsidR="00951DD0" w:rsidRPr="004513AD">
        <w:rPr>
          <w:rFonts w:ascii="Arial" w:hAnsi="Arial" w:cs="Arial"/>
          <w:sz w:val="24"/>
          <w:szCs w:val="24"/>
        </w:rPr>
        <w:t xml:space="preserve">corresponde, a que </w:t>
      </w:r>
      <w:r w:rsidR="00E126BF">
        <w:rPr>
          <w:rFonts w:ascii="Arial" w:hAnsi="Arial" w:cs="Arial"/>
          <w:sz w:val="24"/>
          <w:szCs w:val="24"/>
        </w:rPr>
        <w:t>el</w:t>
      </w:r>
      <w:r w:rsidR="00951DD0" w:rsidRPr="004513AD">
        <w:rPr>
          <w:rFonts w:ascii="Arial" w:hAnsi="Arial" w:cs="Arial"/>
          <w:sz w:val="24"/>
          <w:szCs w:val="24"/>
        </w:rPr>
        <w:t xml:space="preserve"> </w:t>
      </w:r>
      <w:r w:rsidR="0042061D" w:rsidRPr="004513AD">
        <w:rPr>
          <w:rFonts w:ascii="Arial" w:hAnsi="Arial" w:cs="Arial"/>
          <w:sz w:val="24"/>
          <w:szCs w:val="24"/>
        </w:rPr>
        <w:t xml:space="preserve"> módulo </w:t>
      </w:r>
      <w:r w:rsidR="00951DD0" w:rsidRPr="004513AD">
        <w:rPr>
          <w:rFonts w:ascii="Arial" w:hAnsi="Arial" w:cs="Arial"/>
          <w:sz w:val="24"/>
          <w:szCs w:val="24"/>
        </w:rPr>
        <w:t>financiero</w:t>
      </w:r>
      <w:r w:rsidR="0042061D" w:rsidRPr="004513AD">
        <w:rPr>
          <w:rFonts w:ascii="Arial" w:hAnsi="Arial" w:cs="Arial"/>
          <w:sz w:val="24"/>
          <w:szCs w:val="24"/>
        </w:rPr>
        <w:t xml:space="preserve"> es un sistema integrado de las contabilidad</w:t>
      </w:r>
      <w:r w:rsidR="00E126BF">
        <w:rPr>
          <w:rFonts w:ascii="Arial" w:hAnsi="Arial" w:cs="Arial"/>
          <w:sz w:val="24"/>
          <w:szCs w:val="24"/>
        </w:rPr>
        <w:t>es presupuestaria y patrimonial y</w:t>
      </w:r>
      <w:r w:rsidR="0042061D" w:rsidRPr="004513AD">
        <w:rPr>
          <w:rFonts w:ascii="Arial" w:hAnsi="Arial" w:cs="Arial"/>
          <w:sz w:val="24"/>
          <w:szCs w:val="24"/>
        </w:rPr>
        <w:t xml:space="preserve"> tiene una única entrada, que obligatoriamente afecta ambas contabilidades, o sea todo movimiento presupuest</w:t>
      </w:r>
      <w:r w:rsidR="00CF2C0B">
        <w:rPr>
          <w:rFonts w:ascii="Arial" w:hAnsi="Arial" w:cs="Arial"/>
          <w:sz w:val="24"/>
          <w:szCs w:val="24"/>
        </w:rPr>
        <w:t>ario, aunque no sea patrimonial</w:t>
      </w:r>
      <w:r w:rsidR="00C82437">
        <w:rPr>
          <w:rFonts w:ascii="Arial" w:hAnsi="Arial" w:cs="Arial"/>
          <w:sz w:val="24"/>
          <w:szCs w:val="24"/>
        </w:rPr>
        <w:t xml:space="preserve"> debe registrarse en </w:t>
      </w:r>
      <w:r w:rsidR="00E126BF">
        <w:rPr>
          <w:rFonts w:ascii="Arial" w:hAnsi="Arial" w:cs="Arial"/>
          <w:sz w:val="24"/>
          <w:szCs w:val="24"/>
        </w:rPr>
        <w:t>l</w:t>
      </w:r>
      <w:r w:rsidR="0042061D" w:rsidRPr="004513AD">
        <w:rPr>
          <w:rFonts w:ascii="Arial" w:hAnsi="Arial" w:cs="Arial"/>
          <w:sz w:val="24"/>
          <w:szCs w:val="24"/>
        </w:rPr>
        <w:t xml:space="preserve">a contabilidad </w:t>
      </w:r>
    </w:p>
    <w:p w:rsidR="00D97511" w:rsidRDefault="00D97511" w:rsidP="001F752F">
      <w:pPr>
        <w:ind w:left="-426"/>
        <w:rPr>
          <w:rFonts w:ascii="Arial" w:hAnsi="Arial" w:cs="Arial"/>
          <w:b/>
          <w:bCs/>
          <w:sz w:val="24"/>
          <w:szCs w:val="24"/>
          <w:lang w:eastAsia="es-ES"/>
        </w:rPr>
      </w:pPr>
      <w:r w:rsidRPr="00074952">
        <w:rPr>
          <w:rFonts w:ascii="Arial" w:hAnsi="Arial" w:cs="Arial"/>
          <w:b/>
          <w:bCs/>
          <w:sz w:val="24"/>
          <w:szCs w:val="24"/>
          <w:lang w:eastAsia="es-ES"/>
        </w:rPr>
        <w:lastRenderedPageBreak/>
        <w:t xml:space="preserve">NOTA No. </w:t>
      </w:r>
      <w:r w:rsidR="00902DC6">
        <w:rPr>
          <w:rFonts w:ascii="Arial" w:hAnsi="Arial" w:cs="Arial"/>
          <w:b/>
          <w:bCs/>
          <w:sz w:val="24"/>
          <w:szCs w:val="24"/>
          <w:lang w:eastAsia="es-ES"/>
        </w:rPr>
        <w:t>29</w:t>
      </w:r>
      <w:r w:rsidRPr="00074952">
        <w:rPr>
          <w:rFonts w:ascii="Arial" w:hAnsi="Arial" w:cs="Arial"/>
          <w:b/>
          <w:bCs/>
          <w:sz w:val="24"/>
          <w:szCs w:val="24"/>
          <w:lang w:eastAsia="es-ES"/>
        </w:rPr>
        <w:t xml:space="preserve"> </w:t>
      </w:r>
      <w:r>
        <w:rPr>
          <w:rFonts w:ascii="Arial" w:hAnsi="Arial" w:cs="Arial"/>
          <w:b/>
          <w:bCs/>
          <w:sz w:val="24"/>
          <w:szCs w:val="24"/>
          <w:lang w:eastAsia="es-ES"/>
        </w:rPr>
        <w:t>Litigios</w:t>
      </w:r>
    </w:p>
    <w:p w:rsidR="00103690" w:rsidRPr="00155D85" w:rsidRDefault="00103690" w:rsidP="001F752F">
      <w:pPr>
        <w:ind w:left="-426"/>
        <w:rPr>
          <w:rFonts w:ascii="Arial" w:hAnsi="Arial" w:cs="Arial"/>
          <w:bCs/>
          <w:sz w:val="24"/>
          <w:szCs w:val="24"/>
          <w:lang w:eastAsia="es-ES"/>
        </w:rPr>
      </w:pPr>
      <w:r>
        <w:rPr>
          <w:rFonts w:ascii="Arial" w:hAnsi="Arial" w:cs="Arial"/>
          <w:bCs/>
          <w:sz w:val="24"/>
          <w:szCs w:val="24"/>
          <w:lang w:eastAsia="es-ES"/>
        </w:rPr>
        <w:t xml:space="preserve">La Universidad a </w:t>
      </w:r>
      <w:r w:rsidR="00E34F45">
        <w:rPr>
          <w:rFonts w:ascii="Arial" w:hAnsi="Arial" w:cs="Arial"/>
          <w:bCs/>
          <w:sz w:val="24"/>
          <w:szCs w:val="24"/>
          <w:lang w:eastAsia="es-ES"/>
        </w:rPr>
        <w:t xml:space="preserve">enero </w:t>
      </w:r>
      <w:r>
        <w:rPr>
          <w:rFonts w:ascii="Arial" w:hAnsi="Arial" w:cs="Arial"/>
          <w:bCs/>
          <w:sz w:val="24"/>
          <w:szCs w:val="24"/>
          <w:lang w:eastAsia="es-ES"/>
        </w:rPr>
        <w:t xml:space="preserve"> 201</w:t>
      </w:r>
      <w:r w:rsidR="00E34F45">
        <w:rPr>
          <w:rFonts w:ascii="Arial" w:hAnsi="Arial" w:cs="Arial"/>
          <w:bCs/>
          <w:sz w:val="24"/>
          <w:szCs w:val="24"/>
          <w:lang w:eastAsia="es-ES"/>
        </w:rPr>
        <w:t>9</w:t>
      </w:r>
      <w:r>
        <w:rPr>
          <w:rFonts w:ascii="Arial" w:hAnsi="Arial" w:cs="Arial"/>
          <w:bCs/>
          <w:sz w:val="24"/>
          <w:szCs w:val="24"/>
          <w:lang w:eastAsia="es-ES"/>
        </w:rPr>
        <w:t xml:space="preserve">, mantiene </w:t>
      </w:r>
      <w:r w:rsidR="00DA626A">
        <w:rPr>
          <w:rFonts w:ascii="Arial" w:hAnsi="Arial" w:cs="Arial"/>
          <w:bCs/>
          <w:sz w:val="24"/>
          <w:szCs w:val="24"/>
          <w:lang w:eastAsia="es-ES"/>
        </w:rPr>
        <w:t>14</w:t>
      </w:r>
      <w:r>
        <w:rPr>
          <w:rFonts w:ascii="Arial" w:hAnsi="Arial" w:cs="Arial"/>
          <w:bCs/>
          <w:sz w:val="24"/>
          <w:szCs w:val="24"/>
          <w:lang w:eastAsia="es-ES"/>
        </w:rPr>
        <w:t xml:space="preserve"> litigios que pueden tener resultados favorables y generar posibles ingresos por un monto de ¢</w:t>
      </w:r>
      <w:r w:rsidR="00DA626A">
        <w:rPr>
          <w:rFonts w:ascii="Arial" w:hAnsi="Arial" w:cs="Arial"/>
          <w:bCs/>
          <w:sz w:val="24"/>
          <w:szCs w:val="24"/>
          <w:lang w:eastAsia="es-ES"/>
        </w:rPr>
        <w:t>21.729.42</w:t>
      </w:r>
      <w:r>
        <w:rPr>
          <w:rFonts w:ascii="Arial" w:hAnsi="Arial" w:cs="Arial"/>
          <w:bCs/>
          <w:sz w:val="24"/>
          <w:szCs w:val="24"/>
          <w:lang w:eastAsia="es-ES"/>
        </w:rPr>
        <w:t xml:space="preserve"> (miles de colones).  Y </w:t>
      </w:r>
      <w:r w:rsidR="00DA626A">
        <w:rPr>
          <w:rFonts w:ascii="Arial" w:hAnsi="Arial" w:cs="Arial"/>
          <w:bCs/>
          <w:sz w:val="24"/>
          <w:szCs w:val="24"/>
          <w:lang w:eastAsia="es-ES"/>
        </w:rPr>
        <w:t>18</w:t>
      </w:r>
      <w:r>
        <w:rPr>
          <w:rFonts w:ascii="Arial" w:hAnsi="Arial" w:cs="Arial"/>
          <w:bCs/>
          <w:sz w:val="24"/>
          <w:szCs w:val="24"/>
          <w:lang w:eastAsia="es-ES"/>
        </w:rPr>
        <w:t xml:space="preserve"> litigios que pueden resultar desfavorables y  generar pérdidas potenciales por un monto de ¢</w:t>
      </w:r>
      <w:r w:rsidR="00DA626A">
        <w:rPr>
          <w:rFonts w:ascii="Arial" w:hAnsi="Arial" w:cs="Arial"/>
          <w:bCs/>
          <w:sz w:val="24"/>
          <w:szCs w:val="24"/>
          <w:lang w:eastAsia="es-ES"/>
        </w:rPr>
        <w:t>595.661.26</w:t>
      </w:r>
      <w:r>
        <w:rPr>
          <w:rFonts w:ascii="Arial" w:hAnsi="Arial" w:cs="Arial"/>
          <w:bCs/>
          <w:sz w:val="24"/>
          <w:szCs w:val="24"/>
          <w:lang w:eastAsia="es-ES"/>
        </w:rPr>
        <w:t xml:space="preserve"> (miles).</w:t>
      </w:r>
    </w:p>
    <w:p w:rsidR="00D97511" w:rsidRPr="00155D85" w:rsidRDefault="00D97511" w:rsidP="001F752F">
      <w:pPr>
        <w:ind w:left="-426"/>
        <w:rPr>
          <w:rFonts w:ascii="Arial" w:hAnsi="Arial" w:cs="Arial"/>
          <w:bCs/>
          <w:sz w:val="24"/>
          <w:szCs w:val="24"/>
          <w:lang w:eastAsia="es-ES"/>
        </w:rPr>
      </w:pPr>
    </w:p>
    <w:p w:rsidR="005D27EE" w:rsidRDefault="005D27EE" w:rsidP="001F752F">
      <w:pPr>
        <w:spacing w:line="240" w:lineRule="auto"/>
        <w:ind w:left="-426"/>
        <w:rPr>
          <w:rFonts w:ascii="Arial" w:hAnsi="Arial" w:cs="Arial"/>
          <w:sz w:val="24"/>
          <w:szCs w:val="24"/>
        </w:rPr>
      </w:pPr>
    </w:p>
    <w:p w:rsidR="005D27EE" w:rsidRPr="00C02FB5" w:rsidRDefault="005D27EE" w:rsidP="001F752F">
      <w:pPr>
        <w:spacing w:line="240" w:lineRule="auto"/>
        <w:ind w:left="-426"/>
        <w:rPr>
          <w:rFonts w:ascii="Arial" w:hAnsi="Arial" w:cs="Arial"/>
          <w:sz w:val="24"/>
          <w:szCs w:val="24"/>
        </w:rPr>
      </w:pPr>
    </w:p>
    <w:p w:rsidR="003B62BE" w:rsidRPr="00C02FB5" w:rsidRDefault="003B62BE" w:rsidP="001F752F">
      <w:pPr>
        <w:ind w:left="-426"/>
        <w:jc w:val="left"/>
        <w:rPr>
          <w:rFonts w:ascii="Arial" w:hAnsi="Arial" w:cs="Arial"/>
          <w:color w:val="000000"/>
          <w:sz w:val="24"/>
          <w:szCs w:val="24"/>
          <w:lang w:val="es-CR"/>
        </w:rPr>
      </w:pPr>
    </w:p>
    <w:p w:rsidR="00437E1F" w:rsidRPr="00C02FB5" w:rsidRDefault="00437E1F" w:rsidP="001F752F">
      <w:pPr>
        <w:ind w:left="-426"/>
        <w:rPr>
          <w:rFonts w:ascii="Arial" w:hAnsi="Arial" w:cs="Arial"/>
          <w:sz w:val="24"/>
          <w:szCs w:val="24"/>
        </w:rPr>
      </w:pPr>
    </w:p>
    <w:sectPr w:rsidR="00437E1F" w:rsidRPr="00C02FB5" w:rsidSect="009970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928"/>
    <w:multiLevelType w:val="hybridMultilevel"/>
    <w:tmpl w:val="F4E8F1A0"/>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58554B8"/>
    <w:multiLevelType w:val="hybridMultilevel"/>
    <w:tmpl w:val="A452789A"/>
    <w:lvl w:ilvl="0" w:tplc="D83E50FC">
      <w:start w:val="1"/>
      <w:numFmt w:val="bullet"/>
      <w:lvlText w:val=""/>
      <w:lvlJc w:val="left"/>
      <w:pPr>
        <w:ind w:left="644" w:hanging="360"/>
      </w:pPr>
      <w:rPr>
        <w:rFonts w:ascii="Wingdings" w:hAnsi="Wingdings" w:hint="default"/>
        <w:color w:val="0070C0"/>
      </w:rPr>
    </w:lvl>
    <w:lvl w:ilvl="1" w:tplc="140A0003" w:tentative="1">
      <w:start w:val="1"/>
      <w:numFmt w:val="bullet"/>
      <w:lvlText w:val="o"/>
      <w:lvlJc w:val="left"/>
      <w:pPr>
        <w:ind w:left="1364" w:hanging="360"/>
      </w:pPr>
      <w:rPr>
        <w:rFonts w:ascii="Courier New" w:hAnsi="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2" w15:restartNumberingAfterBreak="0">
    <w:nsid w:val="20800B00"/>
    <w:multiLevelType w:val="hybridMultilevel"/>
    <w:tmpl w:val="64FC6F6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78B6841"/>
    <w:multiLevelType w:val="hybridMultilevel"/>
    <w:tmpl w:val="1430F9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9B726E4"/>
    <w:multiLevelType w:val="hybridMultilevel"/>
    <w:tmpl w:val="6A3047AC"/>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EE72791"/>
    <w:multiLevelType w:val="hybridMultilevel"/>
    <w:tmpl w:val="52CAA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F9E31EA"/>
    <w:multiLevelType w:val="hybridMultilevel"/>
    <w:tmpl w:val="21BCB1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3AB0E37"/>
    <w:multiLevelType w:val="hybridMultilevel"/>
    <w:tmpl w:val="D1F2C35C"/>
    <w:lvl w:ilvl="0" w:tplc="4E4E57C0">
      <w:start w:val="1"/>
      <w:numFmt w:val="decimal"/>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8" w15:restartNumberingAfterBreak="0">
    <w:nsid w:val="557F2C2B"/>
    <w:multiLevelType w:val="hybridMultilevel"/>
    <w:tmpl w:val="158AB4AA"/>
    <w:lvl w:ilvl="0" w:tplc="1F30F224">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15:restartNumberingAfterBreak="0">
    <w:nsid w:val="56651CD2"/>
    <w:multiLevelType w:val="hybridMultilevel"/>
    <w:tmpl w:val="C6F05F1A"/>
    <w:lvl w:ilvl="0" w:tplc="D83E50FC">
      <w:start w:val="1"/>
      <w:numFmt w:val="bullet"/>
      <w:lvlText w:val=""/>
      <w:lvlJc w:val="left"/>
      <w:pPr>
        <w:ind w:left="644" w:hanging="360"/>
      </w:pPr>
      <w:rPr>
        <w:rFonts w:ascii="Wingdings" w:hAnsi="Wingdings" w:hint="default"/>
        <w:color w:val="0070C0"/>
      </w:rPr>
    </w:lvl>
    <w:lvl w:ilvl="1" w:tplc="140A0003" w:tentative="1">
      <w:start w:val="1"/>
      <w:numFmt w:val="bullet"/>
      <w:lvlText w:val="o"/>
      <w:lvlJc w:val="left"/>
      <w:pPr>
        <w:ind w:left="1364" w:hanging="360"/>
      </w:pPr>
      <w:rPr>
        <w:rFonts w:ascii="Courier New" w:hAnsi="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0" w15:restartNumberingAfterBreak="0">
    <w:nsid w:val="75A6430D"/>
    <w:multiLevelType w:val="hybridMultilevel"/>
    <w:tmpl w:val="D1F2C35C"/>
    <w:lvl w:ilvl="0" w:tplc="4E4E57C0">
      <w:start w:val="1"/>
      <w:numFmt w:val="decimal"/>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1" w15:restartNumberingAfterBreak="0">
    <w:nsid w:val="7C5F1A1A"/>
    <w:multiLevelType w:val="hybridMultilevel"/>
    <w:tmpl w:val="5B4875F4"/>
    <w:lvl w:ilvl="0" w:tplc="D83E50FC">
      <w:start w:val="1"/>
      <w:numFmt w:val="bullet"/>
      <w:lvlText w:val=""/>
      <w:lvlJc w:val="left"/>
      <w:pPr>
        <w:ind w:left="720" w:hanging="360"/>
      </w:pPr>
      <w:rPr>
        <w:rFonts w:ascii="Wingdings" w:hAnsi="Wingdings" w:hint="default"/>
        <w:color w:val="0070C0"/>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8"/>
  </w:num>
  <w:num w:numId="5">
    <w:abstractNumId w:val="5"/>
  </w:num>
  <w:num w:numId="6">
    <w:abstractNumId w:val="3"/>
  </w:num>
  <w:num w:numId="7">
    <w:abstractNumId w:val="11"/>
  </w:num>
  <w:num w:numId="8">
    <w:abstractNumId w:val="2"/>
  </w:num>
  <w:num w:numId="9">
    <w:abstractNumId w:val="0"/>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2BE"/>
    <w:rsid w:val="00000903"/>
    <w:rsid w:val="00001170"/>
    <w:rsid w:val="00005347"/>
    <w:rsid w:val="000058CF"/>
    <w:rsid w:val="000063AD"/>
    <w:rsid w:val="00010B53"/>
    <w:rsid w:val="00011B1D"/>
    <w:rsid w:val="00013B2B"/>
    <w:rsid w:val="00015157"/>
    <w:rsid w:val="00015F34"/>
    <w:rsid w:val="0002757C"/>
    <w:rsid w:val="00030E60"/>
    <w:rsid w:val="00030FC8"/>
    <w:rsid w:val="00031AAE"/>
    <w:rsid w:val="0003599C"/>
    <w:rsid w:val="000366B6"/>
    <w:rsid w:val="00040A47"/>
    <w:rsid w:val="00041A12"/>
    <w:rsid w:val="00043C07"/>
    <w:rsid w:val="00046A2F"/>
    <w:rsid w:val="00050B5F"/>
    <w:rsid w:val="000540E2"/>
    <w:rsid w:val="00054C04"/>
    <w:rsid w:val="00054C66"/>
    <w:rsid w:val="000554B7"/>
    <w:rsid w:val="00057487"/>
    <w:rsid w:val="00057517"/>
    <w:rsid w:val="000578F8"/>
    <w:rsid w:val="00057E64"/>
    <w:rsid w:val="00061EF3"/>
    <w:rsid w:val="0006406F"/>
    <w:rsid w:val="000640D4"/>
    <w:rsid w:val="00066F3B"/>
    <w:rsid w:val="000675BF"/>
    <w:rsid w:val="00067CE7"/>
    <w:rsid w:val="00070205"/>
    <w:rsid w:val="00074952"/>
    <w:rsid w:val="0007759A"/>
    <w:rsid w:val="00077CBC"/>
    <w:rsid w:val="000837B4"/>
    <w:rsid w:val="000840E0"/>
    <w:rsid w:val="00085F5A"/>
    <w:rsid w:val="0008600D"/>
    <w:rsid w:val="000865E3"/>
    <w:rsid w:val="00087D11"/>
    <w:rsid w:val="00091012"/>
    <w:rsid w:val="00091E99"/>
    <w:rsid w:val="00092B99"/>
    <w:rsid w:val="00094E1E"/>
    <w:rsid w:val="00096832"/>
    <w:rsid w:val="000A116F"/>
    <w:rsid w:val="000A2C57"/>
    <w:rsid w:val="000A317C"/>
    <w:rsid w:val="000A5D7E"/>
    <w:rsid w:val="000A7832"/>
    <w:rsid w:val="000A7DBA"/>
    <w:rsid w:val="000B443A"/>
    <w:rsid w:val="000B4AE8"/>
    <w:rsid w:val="000C0E05"/>
    <w:rsid w:val="000C23EE"/>
    <w:rsid w:val="000C24B2"/>
    <w:rsid w:val="000C2536"/>
    <w:rsid w:val="000C2B14"/>
    <w:rsid w:val="000C6D4E"/>
    <w:rsid w:val="000C7854"/>
    <w:rsid w:val="000D25CB"/>
    <w:rsid w:val="000D271F"/>
    <w:rsid w:val="000D29F8"/>
    <w:rsid w:val="000D6F7B"/>
    <w:rsid w:val="000E06BD"/>
    <w:rsid w:val="000E0C88"/>
    <w:rsid w:val="000E1DB4"/>
    <w:rsid w:val="000E31F3"/>
    <w:rsid w:val="000F05F3"/>
    <w:rsid w:val="000F18D3"/>
    <w:rsid w:val="000F1CA4"/>
    <w:rsid w:val="000F2898"/>
    <w:rsid w:val="000F478F"/>
    <w:rsid w:val="000F59F5"/>
    <w:rsid w:val="000F7BEB"/>
    <w:rsid w:val="001004D9"/>
    <w:rsid w:val="00100B64"/>
    <w:rsid w:val="001015F6"/>
    <w:rsid w:val="00102D24"/>
    <w:rsid w:val="00103690"/>
    <w:rsid w:val="00104A23"/>
    <w:rsid w:val="00105407"/>
    <w:rsid w:val="00105CB5"/>
    <w:rsid w:val="0010687E"/>
    <w:rsid w:val="001072F6"/>
    <w:rsid w:val="001075EF"/>
    <w:rsid w:val="00110F2A"/>
    <w:rsid w:val="0011108E"/>
    <w:rsid w:val="00111BA7"/>
    <w:rsid w:val="00112AB8"/>
    <w:rsid w:val="00114DF7"/>
    <w:rsid w:val="0012016A"/>
    <w:rsid w:val="001207BB"/>
    <w:rsid w:val="00126731"/>
    <w:rsid w:val="001272FE"/>
    <w:rsid w:val="001307B7"/>
    <w:rsid w:val="00131C0E"/>
    <w:rsid w:val="00131F78"/>
    <w:rsid w:val="001321B9"/>
    <w:rsid w:val="00132507"/>
    <w:rsid w:val="00132815"/>
    <w:rsid w:val="00132970"/>
    <w:rsid w:val="00132A8D"/>
    <w:rsid w:val="00140FD7"/>
    <w:rsid w:val="00141151"/>
    <w:rsid w:val="001455BF"/>
    <w:rsid w:val="001459A5"/>
    <w:rsid w:val="00147A18"/>
    <w:rsid w:val="00147AB4"/>
    <w:rsid w:val="00152592"/>
    <w:rsid w:val="0015538E"/>
    <w:rsid w:val="00155E58"/>
    <w:rsid w:val="00156407"/>
    <w:rsid w:val="00157641"/>
    <w:rsid w:val="001601AA"/>
    <w:rsid w:val="0016086A"/>
    <w:rsid w:val="00161720"/>
    <w:rsid w:val="00161954"/>
    <w:rsid w:val="00162C66"/>
    <w:rsid w:val="001632E0"/>
    <w:rsid w:val="001650A9"/>
    <w:rsid w:val="0016674B"/>
    <w:rsid w:val="0017145B"/>
    <w:rsid w:val="00171D8F"/>
    <w:rsid w:val="001738B4"/>
    <w:rsid w:val="00181E85"/>
    <w:rsid w:val="00183291"/>
    <w:rsid w:val="00183821"/>
    <w:rsid w:val="0018472C"/>
    <w:rsid w:val="00187678"/>
    <w:rsid w:val="00191E88"/>
    <w:rsid w:val="001922D5"/>
    <w:rsid w:val="0019469C"/>
    <w:rsid w:val="00194A7A"/>
    <w:rsid w:val="00194ED1"/>
    <w:rsid w:val="001A0871"/>
    <w:rsid w:val="001A1F1B"/>
    <w:rsid w:val="001A3F60"/>
    <w:rsid w:val="001A52EF"/>
    <w:rsid w:val="001A5CE7"/>
    <w:rsid w:val="001A634D"/>
    <w:rsid w:val="001A666C"/>
    <w:rsid w:val="001B14A5"/>
    <w:rsid w:val="001B3818"/>
    <w:rsid w:val="001B62E3"/>
    <w:rsid w:val="001B7C4B"/>
    <w:rsid w:val="001C2837"/>
    <w:rsid w:val="001C3B16"/>
    <w:rsid w:val="001C5DB9"/>
    <w:rsid w:val="001C66C5"/>
    <w:rsid w:val="001C72CD"/>
    <w:rsid w:val="001D1A27"/>
    <w:rsid w:val="001D256A"/>
    <w:rsid w:val="001D3F6C"/>
    <w:rsid w:val="001D7420"/>
    <w:rsid w:val="001E1570"/>
    <w:rsid w:val="001E19A8"/>
    <w:rsid w:val="001E2966"/>
    <w:rsid w:val="001E318D"/>
    <w:rsid w:val="001E39DD"/>
    <w:rsid w:val="001E4E4B"/>
    <w:rsid w:val="001E737D"/>
    <w:rsid w:val="001E74B9"/>
    <w:rsid w:val="001F398E"/>
    <w:rsid w:val="001F49AF"/>
    <w:rsid w:val="001F5481"/>
    <w:rsid w:val="001F752F"/>
    <w:rsid w:val="001F7D49"/>
    <w:rsid w:val="0020040A"/>
    <w:rsid w:val="002015B6"/>
    <w:rsid w:val="002015CE"/>
    <w:rsid w:val="00201B60"/>
    <w:rsid w:val="00202863"/>
    <w:rsid w:val="00204282"/>
    <w:rsid w:val="00204564"/>
    <w:rsid w:val="00210353"/>
    <w:rsid w:val="00214131"/>
    <w:rsid w:val="002176D6"/>
    <w:rsid w:val="00220915"/>
    <w:rsid w:val="00221BAB"/>
    <w:rsid w:val="002232BD"/>
    <w:rsid w:val="002238B0"/>
    <w:rsid w:val="002246FD"/>
    <w:rsid w:val="0022489D"/>
    <w:rsid w:val="002256F3"/>
    <w:rsid w:val="0022605D"/>
    <w:rsid w:val="00227637"/>
    <w:rsid w:val="00227B81"/>
    <w:rsid w:val="002309D3"/>
    <w:rsid w:val="00232E26"/>
    <w:rsid w:val="002365E9"/>
    <w:rsid w:val="00237BD0"/>
    <w:rsid w:val="00241CF6"/>
    <w:rsid w:val="00242567"/>
    <w:rsid w:val="0024327F"/>
    <w:rsid w:val="00243F09"/>
    <w:rsid w:val="00244DBB"/>
    <w:rsid w:val="002454BF"/>
    <w:rsid w:val="00247542"/>
    <w:rsid w:val="002475A6"/>
    <w:rsid w:val="00251656"/>
    <w:rsid w:val="00257B8F"/>
    <w:rsid w:val="00260913"/>
    <w:rsid w:val="00261111"/>
    <w:rsid w:val="002613E3"/>
    <w:rsid w:val="0026791E"/>
    <w:rsid w:val="00270982"/>
    <w:rsid w:val="0027146E"/>
    <w:rsid w:val="00271BE2"/>
    <w:rsid w:val="00275CDB"/>
    <w:rsid w:val="00276B5E"/>
    <w:rsid w:val="00284F9F"/>
    <w:rsid w:val="00286535"/>
    <w:rsid w:val="002870EE"/>
    <w:rsid w:val="0029135E"/>
    <w:rsid w:val="002915DF"/>
    <w:rsid w:val="002918D9"/>
    <w:rsid w:val="00292DCF"/>
    <w:rsid w:val="0029352C"/>
    <w:rsid w:val="002979C9"/>
    <w:rsid w:val="00297BEC"/>
    <w:rsid w:val="00297F24"/>
    <w:rsid w:val="002A114A"/>
    <w:rsid w:val="002A11BF"/>
    <w:rsid w:val="002A6BF3"/>
    <w:rsid w:val="002B064B"/>
    <w:rsid w:val="002B2AC6"/>
    <w:rsid w:val="002B3E1F"/>
    <w:rsid w:val="002C0C16"/>
    <w:rsid w:val="002C0EE2"/>
    <w:rsid w:val="002C140A"/>
    <w:rsid w:val="002C1671"/>
    <w:rsid w:val="002C1EAB"/>
    <w:rsid w:val="002C3912"/>
    <w:rsid w:val="002C418B"/>
    <w:rsid w:val="002C6964"/>
    <w:rsid w:val="002C6AD7"/>
    <w:rsid w:val="002C6CA1"/>
    <w:rsid w:val="002D3E6D"/>
    <w:rsid w:val="002D4503"/>
    <w:rsid w:val="002D5BB4"/>
    <w:rsid w:val="002D5F5A"/>
    <w:rsid w:val="002D693E"/>
    <w:rsid w:val="002D6F77"/>
    <w:rsid w:val="002E0D2F"/>
    <w:rsid w:val="002E13D5"/>
    <w:rsid w:val="002E1C01"/>
    <w:rsid w:val="002E2DEE"/>
    <w:rsid w:val="002E431F"/>
    <w:rsid w:val="002E4589"/>
    <w:rsid w:val="002E48FD"/>
    <w:rsid w:val="002E53C5"/>
    <w:rsid w:val="002E5F03"/>
    <w:rsid w:val="002E60F5"/>
    <w:rsid w:val="002E6999"/>
    <w:rsid w:val="002F0291"/>
    <w:rsid w:val="002F3A69"/>
    <w:rsid w:val="002F3FB7"/>
    <w:rsid w:val="002F3FEF"/>
    <w:rsid w:val="002F4D01"/>
    <w:rsid w:val="002F727A"/>
    <w:rsid w:val="003013ED"/>
    <w:rsid w:val="00301836"/>
    <w:rsid w:val="00303751"/>
    <w:rsid w:val="0030452B"/>
    <w:rsid w:val="00315A84"/>
    <w:rsid w:val="003161DB"/>
    <w:rsid w:val="00321684"/>
    <w:rsid w:val="00321F4A"/>
    <w:rsid w:val="00322C68"/>
    <w:rsid w:val="00324B4C"/>
    <w:rsid w:val="0033046C"/>
    <w:rsid w:val="00331DA6"/>
    <w:rsid w:val="003357EC"/>
    <w:rsid w:val="00336276"/>
    <w:rsid w:val="00336869"/>
    <w:rsid w:val="003442F7"/>
    <w:rsid w:val="003476BF"/>
    <w:rsid w:val="00347F7C"/>
    <w:rsid w:val="00347F9A"/>
    <w:rsid w:val="00350410"/>
    <w:rsid w:val="00350763"/>
    <w:rsid w:val="00350E82"/>
    <w:rsid w:val="003516E3"/>
    <w:rsid w:val="00351824"/>
    <w:rsid w:val="00352BC5"/>
    <w:rsid w:val="00352DCC"/>
    <w:rsid w:val="00354CCE"/>
    <w:rsid w:val="003569B2"/>
    <w:rsid w:val="003574F8"/>
    <w:rsid w:val="003579AC"/>
    <w:rsid w:val="0036003C"/>
    <w:rsid w:val="003623A8"/>
    <w:rsid w:val="00365867"/>
    <w:rsid w:val="00366AA6"/>
    <w:rsid w:val="0037394F"/>
    <w:rsid w:val="00373AB3"/>
    <w:rsid w:val="00374546"/>
    <w:rsid w:val="00377B9F"/>
    <w:rsid w:val="00380644"/>
    <w:rsid w:val="00381906"/>
    <w:rsid w:val="00385426"/>
    <w:rsid w:val="00386375"/>
    <w:rsid w:val="003878A9"/>
    <w:rsid w:val="00390266"/>
    <w:rsid w:val="00390383"/>
    <w:rsid w:val="00391276"/>
    <w:rsid w:val="00392F5C"/>
    <w:rsid w:val="00394072"/>
    <w:rsid w:val="00394E75"/>
    <w:rsid w:val="00395086"/>
    <w:rsid w:val="003969D1"/>
    <w:rsid w:val="003A0E32"/>
    <w:rsid w:val="003A1AEF"/>
    <w:rsid w:val="003A2CEA"/>
    <w:rsid w:val="003A3675"/>
    <w:rsid w:val="003A4D21"/>
    <w:rsid w:val="003A54CF"/>
    <w:rsid w:val="003A57D5"/>
    <w:rsid w:val="003B0236"/>
    <w:rsid w:val="003B0835"/>
    <w:rsid w:val="003B1AC9"/>
    <w:rsid w:val="003B2578"/>
    <w:rsid w:val="003B62BE"/>
    <w:rsid w:val="003B78AB"/>
    <w:rsid w:val="003C3F7F"/>
    <w:rsid w:val="003C4283"/>
    <w:rsid w:val="003C4ECC"/>
    <w:rsid w:val="003C5B3E"/>
    <w:rsid w:val="003C77FB"/>
    <w:rsid w:val="003C7C68"/>
    <w:rsid w:val="003D1967"/>
    <w:rsid w:val="003D3F16"/>
    <w:rsid w:val="003D4DA7"/>
    <w:rsid w:val="003D6D07"/>
    <w:rsid w:val="003E0922"/>
    <w:rsid w:val="003E347F"/>
    <w:rsid w:val="003E3669"/>
    <w:rsid w:val="003E3E48"/>
    <w:rsid w:val="003E4C19"/>
    <w:rsid w:val="003E4C92"/>
    <w:rsid w:val="003E5EB6"/>
    <w:rsid w:val="003E7350"/>
    <w:rsid w:val="003E7A73"/>
    <w:rsid w:val="003F0929"/>
    <w:rsid w:val="003F254E"/>
    <w:rsid w:val="003F6FB6"/>
    <w:rsid w:val="003F7FEE"/>
    <w:rsid w:val="00405036"/>
    <w:rsid w:val="00405D8B"/>
    <w:rsid w:val="00406109"/>
    <w:rsid w:val="00410693"/>
    <w:rsid w:val="004134BF"/>
    <w:rsid w:val="004171F8"/>
    <w:rsid w:val="0042061D"/>
    <w:rsid w:val="004211B1"/>
    <w:rsid w:val="00427BCD"/>
    <w:rsid w:val="00427DE3"/>
    <w:rsid w:val="00427DFD"/>
    <w:rsid w:val="004311CF"/>
    <w:rsid w:val="004313F8"/>
    <w:rsid w:val="00431ABE"/>
    <w:rsid w:val="00434175"/>
    <w:rsid w:val="00437C5B"/>
    <w:rsid w:val="00437E1F"/>
    <w:rsid w:val="00441D3F"/>
    <w:rsid w:val="00444C66"/>
    <w:rsid w:val="00444FAA"/>
    <w:rsid w:val="004460D6"/>
    <w:rsid w:val="004465C4"/>
    <w:rsid w:val="00447EEB"/>
    <w:rsid w:val="004513AD"/>
    <w:rsid w:val="00451547"/>
    <w:rsid w:val="00451B0E"/>
    <w:rsid w:val="00451D4D"/>
    <w:rsid w:val="004528A3"/>
    <w:rsid w:val="00454619"/>
    <w:rsid w:val="004547A3"/>
    <w:rsid w:val="00454B15"/>
    <w:rsid w:val="00455777"/>
    <w:rsid w:val="00460914"/>
    <w:rsid w:val="00460C73"/>
    <w:rsid w:val="0046239C"/>
    <w:rsid w:val="00462F1F"/>
    <w:rsid w:val="00463A47"/>
    <w:rsid w:val="00464315"/>
    <w:rsid w:val="0046540F"/>
    <w:rsid w:val="004660A8"/>
    <w:rsid w:val="00466270"/>
    <w:rsid w:val="00466583"/>
    <w:rsid w:val="00471BCD"/>
    <w:rsid w:val="00472BC4"/>
    <w:rsid w:val="00473116"/>
    <w:rsid w:val="00475740"/>
    <w:rsid w:val="00476C1C"/>
    <w:rsid w:val="00480739"/>
    <w:rsid w:val="00481435"/>
    <w:rsid w:val="004818C3"/>
    <w:rsid w:val="00483D0E"/>
    <w:rsid w:val="00484B53"/>
    <w:rsid w:val="004875CC"/>
    <w:rsid w:val="00490806"/>
    <w:rsid w:val="004923AE"/>
    <w:rsid w:val="004923B8"/>
    <w:rsid w:val="00494EBC"/>
    <w:rsid w:val="0049548E"/>
    <w:rsid w:val="00495C4A"/>
    <w:rsid w:val="00495E0A"/>
    <w:rsid w:val="00496DAB"/>
    <w:rsid w:val="00496EE0"/>
    <w:rsid w:val="0049777A"/>
    <w:rsid w:val="004A01EC"/>
    <w:rsid w:val="004A200E"/>
    <w:rsid w:val="004A261B"/>
    <w:rsid w:val="004A34CE"/>
    <w:rsid w:val="004A52C1"/>
    <w:rsid w:val="004A6326"/>
    <w:rsid w:val="004A6E00"/>
    <w:rsid w:val="004A78D6"/>
    <w:rsid w:val="004B0286"/>
    <w:rsid w:val="004B191B"/>
    <w:rsid w:val="004B1B1A"/>
    <w:rsid w:val="004B29B8"/>
    <w:rsid w:val="004B3C41"/>
    <w:rsid w:val="004B40F4"/>
    <w:rsid w:val="004B4920"/>
    <w:rsid w:val="004B76A7"/>
    <w:rsid w:val="004C173E"/>
    <w:rsid w:val="004C1C0C"/>
    <w:rsid w:val="004C56F4"/>
    <w:rsid w:val="004C5EE6"/>
    <w:rsid w:val="004C6BBB"/>
    <w:rsid w:val="004D2990"/>
    <w:rsid w:val="004D3886"/>
    <w:rsid w:val="004D3D3E"/>
    <w:rsid w:val="004D3D59"/>
    <w:rsid w:val="004D3FCE"/>
    <w:rsid w:val="004D47AA"/>
    <w:rsid w:val="004D669E"/>
    <w:rsid w:val="004D6A34"/>
    <w:rsid w:val="004D7A49"/>
    <w:rsid w:val="004E1412"/>
    <w:rsid w:val="004E153A"/>
    <w:rsid w:val="004E201D"/>
    <w:rsid w:val="004E22D0"/>
    <w:rsid w:val="004E354D"/>
    <w:rsid w:val="004E380E"/>
    <w:rsid w:val="004F1B3D"/>
    <w:rsid w:val="004F2F57"/>
    <w:rsid w:val="004F3108"/>
    <w:rsid w:val="004F32D7"/>
    <w:rsid w:val="004F410D"/>
    <w:rsid w:val="004F460B"/>
    <w:rsid w:val="004F4745"/>
    <w:rsid w:val="004F6CE9"/>
    <w:rsid w:val="00501038"/>
    <w:rsid w:val="00501E8C"/>
    <w:rsid w:val="00502BAC"/>
    <w:rsid w:val="005033CB"/>
    <w:rsid w:val="00504BC8"/>
    <w:rsid w:val="00505132"/>
    <w:rsid w:val="00505771"/>
    <w:rsid w:val="00511E51"/>
    <w:rsid w:val="00512E20"/>
    <w:rsid w:val="00512FDB"/>
    <w:rsid w:val="0051322A"/>
    <w:rsid w:val="00514773"/>
    <w:rsid w:val="0051564D"/>
    <w:rsid w:val="005170C4"/>
    <w:rsid w:val="00517588"/>
    <w:rsid w:val="005208A9"/>
    <w:rsid w:val="005214BB"/>
    <w:rsid w:val="00521889"/>
    <w:rsid w:val="00521B9E"/>
    <w:rsid w:val="0052201B"/>
    <w:rsid w:val="00523563"/>
    <w:rsid w:val="00524B8D"/>
    <w:rsid w:val="005256F8"/>
    <w:rsid w:val="005267AA"/>
    <w:rsid w:val="00526C24"/>
    <w:rsid w:val="005272C1"/>
    <w:rsid w:val="005309DB"/>
    <w:rsid w:val="005316F2"/>
    <w:rsid w:val="0053227D"/>
    <w:rsid w:val="00533C0F"/>
    <w:rsid w:val="00537115"/>
    <w:rsid w:val="00540259"/>
    <w:rsid w:val="00546315"/>
    <w:rsid w:val="0054643D"/>
    <w:rsid w:val="005476F8"/>
    <w:rsid w:val="0055080F"/>
    <w:rsid w:val="0055177A"/>
    <w:rsid w:val="00552238"/>
    <w:rsid w:val="005576D0"/>
    <w:rsid w:val="00560844"/>
    <w:rsid w:val="005613EE"/>
    <w:rsid w:val="00561A19"/>
    <w:rsid w:val="00563B7C"/>
    <w:rsid w:val="005640E9"/>
    <w:rsid w:val="00565F63"/>
    <w:rsid w:val="005668E2"/>
    <w:rsid w:val="00566BA9"/>
    <w:rsid w:val="00567970"/>
    <w:rsid w:val="005710FD"/>
    <w:rsid w:val="00572859"/>
    <w:rsid w:val="0057304C"/>
    <w:rsid w:val="0057390E"/>
    <w:rsid w:val="00573910"/>
    <w:rsid w:val="00573BD9"/>
    <w:rsid w:val="00576D42"/>
    <w:rsid w:val="00576DFE"/>
    <w:rsid w:val="00577CB3"/>
    <w:rsid w:val="005823C9"/>
    <w:rsid w:val="00583874"/>
    <w:rsid w:val="0058449D"/>
    <w:rsid w:val="00585717"/>
    <w:rsid w:val="0059196C"/>
    <w:rsid w:val="00594CE6"/>
    <w:rsid w:val="0059622B"/>
    <w:rsid w:val="005963A2"/>
    <w:rsid w:val="005A021C"/>
    <w:rsid w:val="005A1962"/>
    <w:rsid w:val="005A1B36"/>
    <w:rsid w:val="005A2B89"/>
    <w:rsid w:val="005A4D04"/>
    <w:rsid w:val="005A7C9B"/>
    <w:rsid w:val="005B090C"/>
    <w:rsid w:val="005B30A8"/>
    <w:rsid w:val="005B37FD"/>
    <w:rsid w:val="005B3A84"/>
    <w:rsid w:val="005B6131"/>
    <w:rsid w:val="005C177B"/>
    <w:rsid w:val="005C1A49"/>
    <w:rsid w:val="005C21C9"/>
    <w:rsid w:val="005C5124"/>
    <w:rsid w:val="005C5D05"/>
    <w:rsid w:val="005C61E5"/>
    <w:rsid w:val="005C6402"/>
    <w:rsid w:val="005C7DE5"/>
    <w:rsid w:val="005D04F0"/>
    <w:rsid w:val="005D0ED8"/>
    <w:rsid w:val="005D1CF1"/>
    <w:rsid w:val="005D27EE"/>
    <w:rsid w:val="005D4467"/>
    <w:rsid w:val="005D4EA3"/>
    <w:rsid w:val="005D622A"/>
    <w:rsid w:val="005D7FC2"/>
    <w:rsid w:val="005E152D"/>
    <w:rsid w:val="005E2DB5"/>
    <w:rsid w:val="005E3983"/>
    <w:rsid w:val="005E3BC8"/>
    <w:rsid w:val="005E3EE8"/>
    <w:rsid w:val="005E52BD"/>
    <w:rsid w:val="005E77D6"/>
    <w:rsid w:val="005E7B37"/>
    <w:rsid w:val="005F0E18"/>
    <w:rsid w:val="005F1583"/>
    <w:rsid w:val="005F161E"/>
    <w:rsid w:val="005F2B81"/>
    <w:rsid w:val="005F315E"/>
    <w:rsid w:val="005F404C"/>
    <w:rsid w:val="005F569D"/>
    <w:rsid w:val="005F5843"/>
    <w:rsid w:val="005F5DAB"/>
    <w:rsid w:val="005F7390"/>
    <w:rsid w:val="005F7D9F"/>
    <w:rsid w:val="00600003"/>
    <w:rsid w:val="006000FE"/>
    <w:rsid w:val="006006B6"/>
    <w:rsid w:val="00603562"/>
    <w:rsid w:val="006060E1"/>
    <w:rsid w:val="0060740D"/>
    <w:rsid w:val="00607474"/>
    <w:rsid w:val="006110CD"/>
    <w:rsid w:val="006116B5"/>
    <w:rsid w:val="006116DE"/>
    <w:rsid w:val="0061227A"/>
    <w:rsid w:val="0061282B"/>
    <w:rsid w:val="006130CE"/>
    <w:rsid w:val="00613556"/>
    <w:rsid w:val="00614902"/>
    <w:rsid w:val="00615819"/>
    <w:rsid w:val="00616170"/>
    <w:rsid w:val="00616237"/>
    <w:rsid w:val="00622404"/>
    <w:rsid w:val="006239A5"/>
    <w:rsid w:val="00624213"/>
    <w:rsid w:val="0062659C"/>
    <w:rsid w:val="00626EF8"/>
    <w:rsid w:val="0063354F"/>
    <w:rsid w:val="006338EF"/>
    <w:rsid w:val="00634013"/>
    <w:rsid w:val="006341AB"/>
    <w:rsid w:val="00634C25"/>
    <w:rsid w:val="0064079B"/>
    <w:rsid w:val="00641C50"/>
    <w:rsid w:val="006434CD"/>
    <w:rsid w:val="00644820"/>
    <w:rsid w:val="00646A32"/>
    <w:rsid w:val="00647D3C"/>
    <w:rsid w:val="00647FF7"/>
    <w:rsid w:val="00650367"/>
    <w:rsid w:val="006508B0"/>
    <w:rsid w:val="00651C24"/>
    <w:rsid w:val="0065363B"/>
    <w:rsid w:val="00654709"/>
    <w:rsid w:val="0065615C"/>
    <w:rsid w:val="00660D6C"/>
    <w:rsid w:val="00660FF7"/>
    <w:rsid w:val="00663C06"/>
    <w:rsid w:val="0066684E"/>
    <w:rsid w:val="006713FD"/>
    <w:rsid w:val="00675B3F"/>
    <w:rsid w:val="00677ABC"/>
    <w:rsid w:val="00680C49"/>
    <w:rsid w:val="00687101"/>
    <w:rsid w:val="00687EF5"/>
    <w:rsid w:val="00690FC6"/>
    <w:rsid w:val="00692111"/>
    <w:rsid w:val="00692B0D"/>
    <w:rsid w:val="006943CC"/>
    <w:rsid w:val="0069534C"/>
    <w:rsid w:val="00695E8B"/>
    <w:rsid w:val="00697735"/>
    <w:rsid w:val="00697FC7"/>
    <w:rsid w:val="006A07BD"/>
    <w:rsid w:val="006A1C79"/>
    <w:rsid w:val="006A24BA"/>
    <w:rsid w:val="006A4B62"/>
    <w:rsid w:val="006A66C1"/>
    <w:rsid w:val="006A67B4"/>
    <w:rsid w:val="006A728B"/>
    <w:rsid w:val="006A77C9"/>
    <w:rsid w:val="006B05B1"/>
    <w:rsid w:val="006B05DF"/>
    <w:rsid w:val="006B253D"/>
    <w:rsid w:val="006B42BC"/>
    <w:rsid w:val="006B4C87"/>
    <w:rsid w:val="006B680A"/>
    <w:rsid w:val="006C38B2"/>
    <w:rsid w:val="006D0383"/>
    <w:rsid w:val="006D10D8"/>
    <w:rsid w:val="006D528D"/>
    <w:rsid w:val="006D5B15"/>
    <w:rsid w:val="006D6F93"/>
    <w:rsid w:val="006E12C9"/>
    <w:rsid w:val="006E4AA3"/>
    <w:rsid w:val="006E547D"/>
    <w:rsid w:val="006E7A2B"/>
    <w:rsid w:val="006F0544"/>
    <w:rsid w:val="006F0A63"/>
    <w:rsid w:val="006F34ED"/>
    <w:rsid w:val="006F6E56"/>
    <w:rsid w:val="006F712D"/>
    <w:rsid w:val="006F7CF6"/>
    <w:rsid w:val="00701990"/>
    <w:rsid w:val="00702235"/>
    <w:rsid w:val="00702DF1"/>
    <w:rsid w:val="00704AC2"/>
    <w:rsid w:val="00710A8F"/>
    <w:rsid w:val="00714310"/>
    <w:rsid w:val="00716040"/>
    <w:rsid w:val="0072064D"/>
    <w:rsid w:val="00720F4A"/>
    <w:rsid w:val="00721F72"/>
    <w:rsid w:val="007229DF"/>
    <w:rsid w:val="00723A40"/>
    <w:rsid w:val="00723ACB"/>
    <w:rsid w:val="00727739"/>
    <w:rsid w:val="00730F99"/>
    <w:rsid w:val="00731678"/>
    <w:rsid w:val="00731D39"/>
    <w:rsid w:val="00733706"/>
    <w:rsid w:val="00735C75"/>
    <w:rsid w:val="007379CB"/>
    <w:rsid w:val="00737A48"/>
    <w:rsid w:val="007409A7"/>
    <w:rsid w:val="00740D23"/>
    <w:rsid w:val="00741D61"/>
    <w:rsid w:val="00743A57"/>
    <w:rsid w:val="00745586"/>
    <w:rsid w:val="00745A4B"/>
    <w:rsid w:val="00750CD6"/>
    <w:rsid w:val="00751B8F"/>
    <w:rsid w:val="007528CE"/>
    <w:rsid w:val="007541F5"/>
    <w:rsid w:val="00754C52"/>
    <w:rsid w:val="00756486"/>
    <w:rsid w:val="007619BB"/>
    <w:rsid w:val="00762AC0"/>
    <w:rsid w:val="007635E7"/>
    <w:rsid w:val="007637DA"/>
    <w:rsid w:val="00763960"/>
    <w:rsid w:val="00764C27"/>
    <w:rsid w:val="00766839"/>
    <w:rsid w:val="007725E1"/>
    <w:rsid w:val="00773857"/>
    <w:rsid w:val="00773C39"/>
    <w:rsid w:val="007756A9"/>
    <w:rsid w:val="00777DF0"/>
    <w:rsid w:val="007822B9"/>
    <w:rsid w:val="00784070"/>
    <w:rsid w:val="00786060"/>
    <w:rsid w:val="007904B2"/>
    <w:rsid w:val="007929E9"/>
    <w:rsid w:val="00793F38"/>
    <w:rsid w:val="007962C0"/>
    <w:rsid w:val="00796333"/>
    <w:rsid w:val="007966EB"/>
    <w:rsid w:val="00797284"/>
    <w:rsid w:val="007A177B"/>
    <w:rsid w:val="007A1FD0"/>
    <w:rsid w:val="007A4EC7"/>
    <w:rsid w:val="007A5971"/>
    <w:rsid w:val="007A62C0"/>
    <w:rsid w:val="007A6845"/>
    <w:rsid w:val="007A70C4"/>
    <w:rsid w:val="007B4EC9"/>
    <w:rsid w:val="007B5AB5"/>
    <w:rsid w:val="007B6137"/>
    <w:rsid w:val="007C0592"/>
    <w:rsid w:val="007C145E"/>
    <w:rsid w:val="007C2B2B"/>
    <w:rsid w:val="007C3126"/>
    <w:rsid w:val="007C53DC"/>
    <w:rsid w:val="007C7AA7"/>
    <w:rsid w:val="007D07A1"/>
    <w:rsid w:val="007D2534"/>
    <w:rsid w:val="007D28AA"/>
    <w:rsid w:val="007D3721"/>
    <w:rsid w:val="007D6B5E"/>
    <w:rsid w:val="007D7752"/>
    <w:rsid w:val="007E1464"/>
    <w:rsid w:val="007E16DD"/>
    <w:rsid w:val="007E1F52"/>
    <w:rsid w:val="007E2C41"/>
    <w:rsid w:val="007E3A85"/>
    <w:rsid w:val="007F21C7"/>
    <w:rsid w:val="007F23E6"/>
    <w:rsid w:val="007F25D7"/>
    <w:rsid w:val="007F2CBB"/>
    <w:rsid w:val="007F2F09"/>
    <w:rsid w:val="007F546D"/>
    <w:rsid w:val="00801451"/>
    <w:rsid w:val="00802935"/>
    <w:rsid w:val="00803455"/>
    <w:rsid w:val="00803C5E"/>
    <w:rsid w:val="00805918"/>
    <w:rsid w:val="00811228"/>
    <w:rsid w:val="00811C72"/>
    <w:rsid w:val="0081261E"/>
    <w:rsid w:val="00813032"/>
    <w:rsid w:val="008135C0"/>
    <w:rsid w:val="00813F9A"/>
    <w:rsid w:val="008153CE"/>
    <w:rsid w:val="008164C3"/>
    <w:rsid w:val="008165E6"/>
    <w:rsid w:val="0081737D"/>
    <w:rsid w:val="00822DC4"/>
    <w:rsid w:val="008247EA"/>
    <w:rsid w:val="00825618"/>
    <w:rsid w:val="00825B35"/>
    <w:rsid w:val="00826CBE"/>
    <w:rsid w:val="00830898"/>
    <w:rsid w:val="0083090C"/>
    <w:rsid w:val="008320C8"/>
    <w:rsid w:val="00832611"/>
    <w:rsid w:val="00834739"/>
    <w:rsid w:val="008354D5"/>
    <w:rsid w:val="0083641D"/>
    <w:rsid w:val="00836FDE"/>
    <w:rsid w:val="008411EA"/>
    <w:rsid w:val="0084189F"/>
    <w:rsid w:val="00841B65"/>
    <w:rsid w:val="00843386"/>
    <w:rsid w:val="0084410D"/>
    <w:rsid w:val="00844A0B"/>
    <w:rsid w:val="0084794D"/>
    <w:rsid w:val="00847A0A"/>
    <w:rsid w:val="00850A82"/>
    <w:rsid w:val="00851AC2"/>
    <w:rsid w:val="00852B85"/>
    <w:rsid w:val="008538F7"/>
    <w:rsid w:val="00854352"/>
    <w:rsid w:val="008573E2"/>
    <w:rsid w:val="00860F0D"/>
    <w:rsid w:val="00862021"/>
    <w:rsid w:val="00862351"/>
    <w:rsid w:val="0086295F"/>
    <w:rsid w:val="00863D6C"/>
    <w:rsid w:val="00870068"/>
    <w:rsid w:val="008705FC"/>
    <w:rsid w:val="00872DFF"/>
    <w:rsid w:val="00873644"/>
    <w:rsid w:val="00873CC3"/>
    <w:rsid w:val="0087542A"/>
    <w:rsid w:val="008778F9"/>
    <w:rsid w:val="00881C32"/>
    <w:rsid w:val="008821E9"/>
    <w:rsid w:val="00882449"/>
    <w:rsid w:val="0088443E"/>
    <w:rsid w:val="008858B1"/>
    <w:rsid w:val="00891594"/>
    <w:rsid w:val="00894186"/>
    <w:rsid w:val="00895237"/>
    <w:rsid w:val="00895BE8"/>
    <w:rsid w:val="00897671"/>
    <w:rsid w:val="008976A5"/>
    <w:rsid w:val="008A0AE7"/>
    <w:rsid w:val="008A17FE"/>
    <w:rsid w:val="008A21A3"/>
    <w:rsid w:val="008A21CA"/>
    <w:rsid w:val="008A2684"/>
    <w:rsid w:val="008A4237"/>
    <w:rsid w:val="008A57D2"/>
    <w:rsid w:val="008A6951"/>
    <w:rsid w:val="008B1762"/>
    <w:rsid w:val="008B2F04"/>
    <w:rsid w:val="008B32EB"/>
    <w:rsid w:val="008B7452"/>
    <w:rsid w:val="008B750B"/>
    <w:rsid w:val="008C01D5"/>
    <w:rsid w:val="008C1903"/>
    <w:rsid w:val="008C19D9"/>
    <w:rsid w:val="008C1A6E"/>
    <w:rsid w:val="008C2538"/>
    <w:rsid w:val="008C294D"/>
    <w:rsid w:val="008C2F90"/>
    <w:rsid w:val="008C47F7"/>
    <w:rsid w:val="008C51CE"/>
    <w:rsid w:val="008C5A54"/>
    <w:rsid w:val="008C7E1D"/>
    <w:rsid w:val="008D0BDF"/>
    <w:rsid w:val="008D12ED"/>
    <w:rsid w:val="008D3E03"/>
    <w:rsid w:val="008D4C36"/>
    <w:rsid w:val="008D7059"/>
    <w:rsid w:val="008E0051"/>
    <w:rsid w:val="008E2540"/>
    <w:rsid w:val="008E3517"/>
    <w:rsid w:val="008E473F"/>
    <w:rsid w:val="008E4782"/>
    <w:rsid w:val="008E7AEC"/>
    <w:rsid w:val="008F295A"/>
    <w:rsid w:val="008F3634"/>
    <w:rsid w:val="008F4DEE"/>
    <w:rsid w:val="008F5D82"/>
    <w:rsid w:val="008F6162"/>
    <w:rsid w:val="008F6421"/>
    <w:rsid w:val="008F74A7"/>
    <w:rsid w:val="008F7A4D"/>
    <w:rsid w:val="00901DA4"/>
    <w:rsid w:val="0090206F"/>
    <w:rsid w:val="00902346"/>
    <w:rsid w:val="00902DC6"/>
    <w:rsid w:val="00903341"/>
    <w:rsid w:val="00903D03"/>
    <w:rsid w:val="00904C62"/>
    <w:rsid w:val="00906838"/>
    <w:rsid w:val="00907E70"/>
    <w:rsid w:val="009171B1"/>
    <w:rsid w:val="009172A2"/>
    <w:rsid w:val="00917713"/>
    <w:rsid w:val="00921806"/>
    <w:rsid w:val="00922370"/>
    <w:rsid w:val="00922693"/>
    <w:rsid w:val="00930205"/>
    <w:rsid w:val="00933C4A"/>
    <w:rsid w:val="00936A1F"/>
    <w:rsid w:val="00940A9D"/>
    <w:rsid w:val="0094547C"/>
    <w:rsid w:val="00951DD0"/>
    <w:rsid w:val="009539C9"/>
    <w:rsid w:val="00953A55"/>
    <w:rsid w:val="0095411E"/>
    <w:rsid w:val="00954B86"/>
    <w:rsid w:val="00954BB4"/>
    <w:rsid w:val="00955A1A"/>
    <w:rsid w:val="0095713D"/>
    <w:rsid w:val="00960B69"/>
    <w:rsid w:val="00962D43"/>
    <w:rsid w:val="0096337D"/>
    <w:rsid w:val="009635DD"/>
    <w:rsid w:val="00964E92"/>
    <w:rsid w:val="009653E3"/>
    <w:rsid w:val="009657DE"/>
    <w:rsid w:val="00965A9D"/>
    <w:rsid w:val="00967013"/>
    <w:rsid w:val="009708B5"/>
    <w:rsid w:val="009709E5"/>
    <w:rsid w:val="00971C41"/>
    <w:rsid w:val="009773E0"/>
    <w:rsid w:val="00980E35"/>
    <w:rsid w:val="009828EB"/>
    <w:rsid w:val="0098393C"/>
    <w:rsid w:val="00986092"/>
    <w:rsid w:val="00990B6C"/>
    <w:rsid w:val="009936F1"/>
    <w:rsid w:val="009970CD"/>
    <w:rsid w:val="009A2AA6"/>
    <w:rsid w:val="009A2E4A"/>
    <w:rsid w:val="009A5B84"/>
    <w:rsid w:val="009A5D31"/>
    <w:rsid w:val="009A6484"/>
    <w:rsid w:val="009A6A70"/>
    <w:rsid w:val="009A7706"/>
    <w:rsid w:val="009B0D4F"/>
    <w:rsid w:val="009B1872"/>
    <w:rsid w:val="009B1C39"/>
    <w:rsid w:val="009B23B2"/>
    <w:rsid w:val="009B2BE5"/>
    <w:rsid w:val="009B2CA5"/>
    <w:rsid w:val="009B3192"/>
    <w:rsid w:val="009B3417"/>
    <w:rsid w:val="009B70C8"/>
    <w:rsid w:val="009B7340"/>
    <w:rsid w:val="009C068D"/>
    <w:rsid w:val="009C06BA"/>
    <w:rsid w:val="009C316F"/>
    <w:rsid w:val="009C412F"/>
    <w:rsid w:val="009C471C"/>
    <w:rsid w:val="009C4B60"/>
    <w:rsid w:val="009C74B4"/>
    <w:rsid w:val="009D2741"/>
    <w:rsid w:val="009D4301"/>
    <w:rsid w:val="009D4977"/>
    <w:rsid w:val="009D5CC7"/>
    <w:rsid w:val="009E0090"/>
    <w:rsid w:val="009E0436"/>
    <w:rsid w:val="009E0C71"/>
    <w:rsid w:val="009E1271"/>
    <w:rsid w:val="009E1410"/>
    <w:rsid w:val="009E1A64"/>
    <w:rsid w:val="009E2143"/>
    <w:rsid w:val="009E3EE9"/>
    <w:rsid w:val="009E448E"/>
    <w:rsid w:val="009F14F7"/>
    <w:rsid w:val="009F4BB6"/>
    <w:rsid w:val="009F60CF"/>
    <w:rsid w:val="009F617D"/>
    <w:rsid w:val="00A00466"/>
    <w:rsid w:val="00A06CF4"/>
    <w:rsid w:val="00A075B6"/>
    <w:rsid w:val="00A10B1D"/>
    <w:rsid w:val="00A112F3"/>
    <w:rsid w:val="00A1141A"/>
    <w:rsid w:val="00A124F3"/>
    <w:rsid w:val="00A1256F"/>
    <w:rsid w:val="00A13068"/>
    <w:rsid w:val="00A14EFE"/>
    <w:rsid w:val="00A200C5"/>
    <w:rsid w:val="00A2198C"/>
    <w:rsid w:val="00A2360D"/>
    <w:rsid w:val="00A247DE"/>
    <w:rsid w:val="00A24D09"/>
    <w:rsid w:val="00A25C8E"/>
    <w:rsid w:val="00A27A23"/>
    <w:rsid w:val="00A31146"/>
    <w:rsid w:val="00A31E19"/>
    <w:rsid w:val="00A32731"/>
    <w:rsid w:val="00A3401F"/>
    <w:rsid w:val="00A346A3"/>
    <w:rsid w:val="00A36BEA"/>
    <w:rsid w:val="00A37F18"/>
    <w:rsid w:val="00A424AC"/>
    <w:rsid w:val="00A43C1A"/>
    <w:rsid w:val="00A46232"/>
    <w:rsid w:val="00A47AFB"/>
    <w:rsid w:val="00A5058C"/>
    <w:rsid w:val="00A50F86"/>
    <w:rsid w:val="00A51566"/>
    <w:rsid w:val="00A522A5"/>
    <w:rsid w:val="00A52783"/>
    <w:rsid w:val="00A5694A"/>
    <w:rsid w:val="00A61C1E"/>
    <w:rsid w:val="00A63019"/>
    <w:rsid w:val="00A65D24"/>
    <w:rsid w:val="00A6770B"/>
    <w:rsid w:val="00A71CAF"/>
    <w:rsid w:val="00A71D53"/>
    <w:rsid w:val="00A724E7"/>
    <w:rsid w:val="00A73FD8"/>
    <w:rsid w:val="00A7429D"/>
    <w:rsid w:val="00A75326"/>
    <w:rsid w:val="00A7553B"/>
    <w:rsid w:val="00A77785"/>
    <w:rsid w:val="00A812F7"/>
    <w:rsid w:val="00A83012"/>
    <w:rsid w:val="00A8798C"/>
    <w:rsid w:val="00A906E3"/>
    <w:rsid w:val="00A9118C"/>
    <w:rsid w:val="00A949FE"/>
    <w:rsid w:val="00A9585F"/>
    <w:rsid w:val="00A95DB3"/>
    <w:rsid w:val="00AA0F8F"/>
    <w:rsid w:val="00AA3B8B"/>
    <w:rsid w:val="00AA652F"/>
    <w:rsid w:val="00AA698B"/>
    <w:rsid w:val="00AB0153"/>
    <w:rsid w:val="00AB0E49"/>
    <w:rsid w:val="00AB1151"/>
    <w:rsid w:val="00AB2E8C"/>
    <w:rsid w:val="00AB47F5"/>
    <w:rsid w:val="00AB5181"/>
    <w:rsid w:val="00AB531F"/>
    <w:rsid w:val="00AB5723"/>
    <w:rsid w:val="00AC1A5E"/>
    <w:rsid w:val="00AC2A9D"/>
    <w:rsid w:val="00AC4D1B"/>
    <w:rsid w:val="00AC5CED"/>
    <w:rsid w:val="00AC631F"/>
    <w:rsid w:val="00AC660B"/>
    <w:rsid w:val="00AC6954"/>
    <w:rsid w:val="00AC6AE6"/>
    <w:rsid w:val="00AD178D"/>
    <w:rsid w:val="00AD4E41"/>
    <w:rsid w:val="00AD7B86"/>
    <w:rsid w:val="00AD7CCB"/>
    <w:rsid w:val="00AE3648"/>
    <w:rsid w:val="00AE3763"/>
    <w:rsid w:val="00AE42D3"/>
    <w:rsid w:val="00AE4B1D"/>
    <w:rsid w:val="00AE6222"/>
    <w:rsid w:val="00AE635A"/>
    <w:rsid w:val="00AF0F86"/>
    <w:rsid w:val="00AF6DB7"/>
    <w:rsid w:val="00AF7F91"/>
    <w:rsid w:val="00B02BFD"/>
    <w:rsid w:val="00B03810"/>
    <w:rsid w:val="00B03DC1"/>
    <w:rsid w:val="00B07724"/>
    <w:rsid w:val="00B105F7"/>
    <w:rsid w:val="00B109CD"/>
    <w:rsid w:val="00B12651"/>
    <w:rsid w:val="00B12C34"/>
    <w:rsid w:val="00B14422"/>
    <w:rsid w:val="00B14C3D"/>
    <w:rsid w:val="00B150BC"/>
    <w:rsid w:val="00B171C1"/>
    <w:rsid w:val="00B22196"/>
    <w:rsid w:val="00B22D62"/>
    <w:rsid w:val="00B230CA"/>
    <w:rsid w:val="00B24124"/>
    <w:rsid w:val="00B27095"/>
    <w:rsid w:val="00B27924"/>
    <w:rsid w:val="00B3111D"/>
    <w:rsid w:val="00B3385E"/>
    <w:rsid w:val="00B33C59"/>
    <w:rsid w:val="00B35015"/>
    <w:rsid w:val="00B3538A"/>
    <w:rsid w:val="00B3542D"/>
    <w:rsid w:val="00B35640"/>
    <w:rsid w:val="00B40483"/>
    <w:rsid w:val="00B43877"/>
    <w:rsid w:val="00B43ED4"/>
    <w:rsid w:val="00B47F11"/>
    <w:rsid w:val="00B51762"/>
    <w:rsid w:val="00B53806"/>
    <w:rsid w:val="00B57F45"/>
    <w:rsid w:val="00B60D64"/>
    <w:rsid w:val="00B6257D"/>
    <w:rsid w:val="00B65759"/>
    <w:rsid w:val="00B669CA"/>
    <w:rsid w:val="00B6739D"/>
    <w:rsid w:val="00B67C4B"/>
    <w:rsid w:val="00B70B77"/>
    <w:rsid w:val="00B72591"/>
    <w:rsid w:val="00B74EC2"/>
    <w:rsid w:val="00B75285"/>
    <w:rsid w:val="00B774AF"/>
    <w:rsid w:val="00B776AE"/>
    <w:rsid w:val="00B77878"/>
    <w:rsid w:val="00B77CA2"/>
    <w:rsid w:val="00B81710"/>
    <w:rsid w:val="00B82BCB"/>
    <w:rsid w:val="00B83A8F"/>
    <w:rsid w:val="00B84319"/>
    <w:rsid w:val="00B857E5"/>
    <w:rsid w:val="00B86CE3"/>
    <w:rsid w:val="00B8761D"/>
    <w:rsid w:val="00B912A5"/>
    <w:rsid w:val="00B95643"/>
    <w:rsid w:val="00B95A61"/>
    <w:rsid w:val="00B9760C"/>
    <w:rsid w:val="00BA0267"/>
    <w:rsid w:val="00BA4D13"/>
    <w:rsid w:val="00BA519F"/>
    <w:rsid w:val="00BB0B8F"/>
    <w:rsid w:val="00BB2BF2"/>
    <w:rsid w:val="00BB4538"/>
    <w:rsid w:val="00BB731F"/>
    <w:rsid w:val="00BC058B"/>
    <w:rsid w:val="00BC22A8"/>
    <w:rsid w:val="00BC4297"/>
    <w:rsid w:val="00BC4CA0"/>
    <w:rsid w:val="00BC5A9C"/>
    <w:rsid w:val="00BC72CD"/>
    <w:rsid w:val="00BD67BD"/>
    <w:rsid w:val="00BE0451"/>
    <w:rsid w:val="00BE2522"/>
    <w:rsid w:val="00BE4362"/>
    <w:rsid w:val="00BE63B1"/>
    <w:rsid w:val="00BE67CA"/>
    <w:rsid w:val="00BE6BE7"/>
    <w:rsid w:val="00BE7176"/>
    <w:rsid w:val="00BF15E8"/>
    <w:rsid w:val="00BF2313"/>
    <w:rsid w:val="00BF400B"/>
    <w:rsid w:val="00BF4F84"/>
    <w:rsid w:val="00BF67DD"/>
    <w:rsid w:val="00BF7DA6"/>
    <w:rsid w:val="00C028F4"/>
    <w:rsid w:val="00C02FB5"/>
    <w:rsid w:val="00C0391B"/>
    <w:rsid w:val="00C03CD8"/>
    <w:rsid w:val="00C03EF2"/>
    <w:rsid w:val="00C047EC"/>
    <w:rsid w:val="00C05FB1"/>
    <w:rsid w:val="00C11813"/>
    <w:rsid w:val="00C126BA"/>
    <w:rsid w:val="00C158AF"/>
    <w:rsid w:val="00C21215"/>
    <w:rsid w:val="00C24430"/>
    <w:rsid w:val="00C24A44"/>
    <w:rsid w:val="00C256A8"/>
    <w:rsid w:val="00C32218"/>
    <w:rsid w:val="00C33C00"/>
    <w:rsid w:val="00C37478"/>
    <w:rsid w:val="00C4098E"/>
    <w:rsid w:val="00C40C81"/>
    <w:rsid w:val="00C41F82"/>
    <w:rsid w:val="00C427CE"/>
    <w:rsid w:val="00C42D9D"/>
    <w:rsid w:val="00C44005"/>
    <w:rsid w:val="00C476E9"/>
    <w:rsid w:val="00C52760"/>
    <w:rsid w:val="00C54138"/>
    <w:rsid w:val="00C57DEC"/>
    <w:rsid w:val="00C61B0E"/>
    <w:rsid w:val="00C61F2E"/>
    <w:rsid w:val="00C67C76"/>
    <w:rsid w:val="00C70668"/>
    <w:rsid w:val="00C72C39"/>
    <w:rsid w:val="00C7353C"/>
    <w:rsid w:val="00C740C8"/>
    <w:rsid w:val="00C744BF"/>
    <w:rsid w:val="00C7450E"/>
    <w:rsid w:val="00C76979"/>
    <w:rsid w:val="00C81E86"/>
    <w:rsid w:val="00C82437"/>
    <w:rsid w:val="00C828BC"/>
    <w:rsid w:val="00C82E0F"/>
    <w:rsid w:val="00C865AF"/>
    <w:rsid w:val="00C90878"/>
    <w:rsid w:val="00C9142A"/>
    <w:rsid w:val="00C92EE6"/>
    <w:rsid w:val="00C945F4"/>
    <w:rsid w:val="00C946BF"/>
    <w:rsid w:val="00C94725"/>
    <w:rsid w:val="00C952D8"/>
    <w:rsid w:val="00CA1661"/>
    <w:rsid w:val="00CA1C61"/>
    <w:rsid w:val="00CA1D21"/>
    <w:rsid w:val="00CA26B0"/>
    <w:rsid w:val="00CA4F09"/>
    <w:rsid w:val="00CA595D"/>
    <w:rsid w:val="00CA71D3"/>
    <w:rsid w:val="00CB0BF3"/>
    <w:rsid w:val="00CB1FC6"/>
    <w:rsid w:val="00CB4670"/>
    <w:rsid w:val="00CB5370"/>
    <w:rsid w:val="00CB5AF1"/>
    <w:rsid w:val="00CB6ED1"/>
    <w:rsid w:val="00CB7EFC"/>
    <w:rsid w:val="00CB7F07"/>
    <w:rsid w:val="00CC0193"/>
    <w:rsid w:val="00CC0E54"/>
    <w:rsid w:val="00CC28C2"/>
    <w:rsid w:val="00CC5EC3"/>
    <w:rsid w:val="00CC6539"/>
    <w:rsid w:val="00CD1F54"/>
    <w:rsid w:val="00CD47E4"/>
    <w:rsid w:val="00CD5876"/>
    <w:rsid w:val="00CD789A"/>
    <w:rsid w:val="00CE06DB"/>
    <w:rsid w:val="00CE0C75"/>
    <w:rsid w:val="00CE2A6A"/>
    <w:rsid w:val="00CE3F01"/>
    <w:rsid w:val="00CE7242"/>
    <w:rsid w:val="00CF10D6"/>
    <w:rsid w:val="00CF2C0B"/>
    <w:rsid w:val="00CF3C8D"/>
    <w:rsid w:val="00CF6A79"/>
    <w:rsid w:val="00D0170C"/>
    <w:rsid w:val="00D0424C"/>
    <w:rsid w:val="00D048F0"/>
    <w:rsid w:val="00D06385"/>
    <w:rsid w:val="00D065EF"/>
    <w:rsid w:val="00D070AB"/>
    <w:rsid w:val="00D07845"/>
    <w:rsid w:val="00D100E9"/>
    <w:rsid w:val="00D10C28"/>
    <w:rsid w:val="00D11C35"/>
    <w:rsid w:val="00D1604E"/>
    <w:rsid w:val="00D16232"/>
    <w:rsid w:val="00D17D83"/>
    <w:rsid w:val="00D24457"/>
    <w:rsid w:val="00D2685E"/>
    <w:rsid w:val="00D2700C"/>
    <w:rsid w:val="00D273F4"/>
    <w:rsid w:val="00D30462"/>
    <w:rsid w:val="00D3190E"/>
    <w:rsid w:val="00D346A9"/>
    <w:rsid w:val="00D36194"/>
    <w:rsid w:val="00D36827"/>
    <w:rsid w:val="00D36D28"/>
    <w:rsid w:val="00D37063"/>
    <w:rsid w:val="00D413E6"/>
    <w:rsid w:val="00D41DDA"/>
    <w:rsid w:val="00D436F0"/>
    <w:rsid w:val="00D46352"/>
    <w:rsid w:val="00D4636B"/>
    <w:rsid w:val="00D504F7"/>
    <w:rsid w:val="00D51565"/>
    <w:rsid w:val="00D51A48"/>
    <w:rsid w:val="00D51C9C"/>
    <w:rsid w:val="00D540EE"/>
    <w:rsid w:val="00D565E5"/>
    <w:rsid w:val="00D5690B"/>
    <w:rsid w:val="00D57F6C"/>
    <w:rsid w:val="00D60A8B"/>
    <w:rsid w:val="00D60C47"/>
    <w:rsid w:val="00D61C3A"/>
    <w:rsid w:val="00D61CEB"/>
    <w:rsid w:val="00D61D8E"/>
    <w:rsid w:val="00D62EDD"/>
    <w:rsid w:val="00D6374B"/>
    <w:rsid w:val="00D63C6C"/>
    <w:rsid w:val="00D6511E"/>
    <w:rsid w:val="00D73156"/>
    <w:rsid w:val="00D7576B"/>
    <w:rsid w:val="00D766E4"/>
    <w:rsid w:val="00D767B7"/>
    <w:rsid w:val="00D805DF"/>
    <w:rsid w:val="00D81D08"/>
    <w:rsid w:val="00D85854"/>
    <w:rsid w:val="00D85A40"/>
    <w:rsid w:val="00D85B5D"/>
    <w:rsid w:val="00D86F76"/>
    <w:rsid w:val="00D9160A"/>
    <w:rsid w:val="00D9290B"/>
    <w:rsid w:val="00D9389C"/>
    <w:rsid w:val="00D9423E"/>
    <w:rsid w:val="00D96E9C"/>
    <w:rsid w:val="00D97511"/>
    <w:rsid w:val="00DA0EDA"/>
    <w:rsid w:val="00DA295F"/>
    <w:rsid w:val="00DA333A"/>
    <w:rsid w:val="00DA3CE9"/>
    <w:rsid w:val="00DA452A"/>
    <w:rsid w:val="00DA4E24"/>
    <w:rsid w:val="00DA4E81"/>
    <w:rsid w:val="00DA5756"/>
    <w:rsid w:val="00DA626A"/>
    <w:rsid w:val="00DA66BB"/>
    <w:rsid w:val="00DA7EBA"/>
    <w:rsid w:val="00DB2485"/>
    <w:rsid w:val="00DB630B"/>
    <w:rsid w:val="00DC0DBC"/>
    <w:rsid w:val="00DC652F"/>
    <w:rsid w:val="00DC79A8"/>
    <w:rsid w:val="00DD20DF"/>
    <w:rsid w:val="00DD31B2"/>
    <w:rsid w:val="00DD33A6"/>
    <w:rsid w:val="00DD42F2"/>
    <w:rsid w:val="00DD434B"/>
    <w:rsid w:val="00DD4CBB"/>
    <w:rsid w:val="00DD57CB"/>
    <w:rsid w:val="00DD5F2A"/>
    <w:rsid w:val="00DE1B7A"/>
    <w:rsid w:val="00DE41F2"/>
    <w:rsid w:val="00DE744F"/>
    <w:rsid w:val="00DF060D"/>
    <w:rsid w:val="00DF205F"/>
    <w:rsid w:val="00DF5336"/>
    <w:rsid w:val="00DF548A"/>
    <w:rsid w:val="00DF7A6E"/>
    <w:rsid w:val="00DF7BC9"/>
    <w:rsid w:val="00DF7C6E"/>
    <w:rsid w:val="00E00FEC"/>
    <w:rsid w:val="00E01D44"/>
    <w:rsid w:val="00E03D77"/>
    <w:rsid w:val="00E05552"/>
    <w:rsid w:val="00E05F69"/>
    <w:rsid w:val="00E0677D"/>
    <w:rsid w:val="00E068E9"/>
    <w:rsid w:val="00E07C83"/>
    <w:rsid w:val="00E11AD1"/>
    <w:rsid w:val="00E126BF"/>
    <w:rsid w:val="00E213CB"/>
    <w:rsid w:val="00E226D9"/>
    <w:rsid w:val="00E228F7"/>
    <w:rsid w:val="00E24563"/>
    <w:rsid w:val="00E259A8"/>
    <w:rsid w:val="00E25F17"/>
    <w:rsid w:val="00E26257"/>
    <w:rsid w:val="00E264AE"/>
    <w:rsid w:val="00E270D2"/>
    <w:rsid w:val="00E3097E"/>
    <w:rsid w:val="00E30E2B"/>
    <w:rsid w:val="00E34F45"/>
    <w:rsid w:val="00E37AE2"/>
    <w:rsid w:val="00E37CFF"/>
    <w:rsid w:val="00E37F8B"/>
    <w:rsid w:val="00E40D46"/>
    <w:rsid w:val="00E426B3"/>
    <w:rsid w:val="00E43512"/>
    <w:rsid w:val="00E43A04"/>
    <w:rsid w:val="00E45C86"/>
    <w:rsid w:val="00E460FF"/>
    <w:rsid w:val="00E46DA4"/>
    <w:rsid w:val="00E50977"/>
    <w:rsid w:val="00E514D1"/>
    <w:rsid w:val="00E52914"/>
    <w:rsid w:val="00E540FA"/>
    <w:rsid w:val="00E54112"/>
    <w:rsid w:val="00E55246"/>
    <w:rsid w:val="00E55FD3"/>
    <w:rsid w:val="00E56769"/>
    <w:rsid w:val="00E56E4D"/>
    <w:rsid w:val="00E57E65"/>
    <w:rsid w:val="00E60BBE"/>
    <w:rsid w:val="00E6109F"/>
    <w:rsid w:val="00E622CE"/>
    <w:rsid w:val="00E63495"/>
    <w:rsid w:val="00E71260"/>
    <w:rsid w:val="00E719C6"/>
    <w:rsid w:val="00E73DD6"/>
    <w:rsid w:val="00E754D8"/>
    <w:rsid w:val="00E76A78"/>
    <w:rsid w:val="00E80853"/>
    <w:rsid w:val="00E80BC7"/>
    <w:rsid w:val="00E811A8"/>
    <w:rsid w:val="00E84534"/>
    <w:rsid w:val="00E90DAD"/>
    <w:rsid w:val="00E9285E"/>
    <w:rsid w:val="00E93740"/>
    <w:rsid w:val="00E9462A"/>
    <w:rsid w:val="00EA1D90"/>
    <w:rsid w:val="00EA1F9D"/>
    <w:rsid w:val="00EA61DF"/>
    <w:rsid w:val="00EA7EB2"/>
    <w:rsid w:val="00EB21DF"/>
    <w:rsid w:val="00EB3BE3"/>
    <w:rsid w:val="00EB4AF7"/>
    <w:rsid w:val="00EB574E"/>
    <w:rsid w:val="00EB5D73"/>
    <w:rsid w:val="00EB6A2F"/>
    <w:rsid w:val="00EB715F"/>
    <w:rsid w:val="00EC148C"/>
    <w:rsid w:val="00EC314B"/>
    <w:rsid w:val="00EC3F24"/>
    <w:rsid w:val="00EC5689"/>
    <w:rsid w:val="00EC60BB"/>
    <w:rsid w:val="00EC61F5"/>
    <w:rsid w:val="00EC7962"/>
    <w:rsid w:val="00ED12D0"/>
    <w:rsid w:val="00ED1B29"/>
    <w:rsid w:val="00ED233B"/>
    <w:rsid w:val="00ED49F9"/>
    <w:rsid w:val="00ED58D6"/>
    <w:rsid w:val="00ED6163"/>
    <w:rsid w:val="00EE0CA7"/>
    <w:rsid w:val="00EE0CFE"/>
    <w:rsid w:val="00EE20BC"/>
    <w:rsid w:val="00EE2379"/>
    <w:rsid w:val="00EE4AD9"/>
    <w:rsid w:val="00EE5293"/>
    <w:rsid w:val="00EE750C"/>
    <w:rsid w:val="00EF3858"/>
    <w:rsid w:val="00EF5912"/>
    <w:rsid w:val="00EF78C5"/>
    <w:rsid w:val="00F0004C"/>
    <w:rsid w:val="00F00890"/>
    <w:rsid w:val="00F00A7C"/>
    <w:rsid w:val="00F01F09"/>
    <w:rsid w:val="00F026D1"/>
    <w:rsid w:val="00F03B72"/>
    <w:rsid w:val="00F03BFB"/>
    <w:rsid w:val="00F03DF1"/>
    <w:rsid w:val="00F065BB"/>
    <w:rsid w:val="00F10E52"/>
    <w:rsid w:val="00F114A9"/>
    <w:rsid w:val="00F13271"/>
    <w:rsid w:val="00F13A3B"/>
    <w:rsid w:val="00F1652B"/>
    <w:rsid w:val="00F2499D"/>
    <w:rsid w:val="00F25165"/>
    <w:rsid w:val="00F30D6E"/>
    <w:rsid w:val="00F3162B"/>
    <w:rsid w:val="00F317D6"/>
    <w:rsid w:val="00F32D0D"/>
    <w:rsid w:val="00F34135"/>
    <w:rsid w:val="00F34DA4"/>
    <w:rsid w:val="00F35806"/>
    <w:rsid w:val="00F3778B"/>
    <w:rsid w:val="00F40B73"/>
    <w:rsid w:val="00F4194F"/>
    <w:rsid w:val="00F423F6"/>
    <w:rsid w:val="00F43154"/>
    <w:rsid w:val="00F446AE"/>
    <w:rsid w:val="00F46A4F"/>
    <w:rsid w:val="00F46AAF"/>
    <w:rsid w:val="00F46FE8"/>
    <w:rsid w:val="00F4776F"/>
    <w:rsid w:val="00F47B4A"/>
    <w:rsid w:val="00F47DD7"/>
    <w:rsid w:val="00F54491"/>
    <w:rsid w:val="00F544A6"/>
    <w:rsid w:val="00F55EE1"/>
    <w:rsid w:val="00F56AFE"/>
    <w:rsid w:val="00F624C6"/>
    <w:rsid w:val="00F62B75"/>
    <w:rsid w:val="00F65366"/>
    <w:rsid w:val="00F66433"/>
    <w:rsid w:val="00F6739C"/>
    <w:rsid w:val="00F7008D"/>
    <w:rsid w:val="00F71E5E"/>
    <w:rsid w:val="00F72486"/>
    <w:rsid w:val="00F73CB9"/>
    <w:rsid w:val="00F76D20"/>
    <w:rsid w:val="00F76DFC"/>
    <w:rsid w:val="00F80958"/>
    <w:rsid w:val="00F80DFC"/>
    <w:rsid w:val="00F81A1A"/>
    <w:rsid w:val="00F81B17"/>
    <w:rsid w:val="00F877AE"/>
    <w:rsid w:val="00F87AC7"/>
    <w:rsid w:val="00F90D55"/>
    <w:rsid w:val="00F92C8C"/>
    <w:rsid w:val="00F92D3E"/>
    <w:rsid w:val="00F96D04"/>
    <w:rsid w:val="00FA03BF"/>
    <w:rsid w:val="00FA1532"/>
    <w:rsid w:val="00FA227D"/>
    <w:rsid w:val="00FA4B9F"/>
    <w:rsid w:val="00FA5399"/>
    <w:rsid w:val="00FA54F2"/>
    <w:rsid w:val="00FA67CE"/>
    <w:rsid w:val="00FA6D4E"/>
    <w:rsid w:val="00FB0C45"/>
    <w:rsid w:val="00FB2E0D"/>
    <w:rsid w:val="00FB4E8A"/>
    <w:rsid w:val="00FB5CB5"/>
    <w:rsid w:val="00FC33B9"/>
    <w:rsid w:val="00FC53EC"/>
    <w:rsid w:val="00FD12F9"/>
    <w:rsid w:val="00FD23F0"/>
    <w:rsid w:val="00FD2E4A"/>
    <w:rsid w:val="00FD3860"/>
    <w:rsid w:val="00FD405B"/>
    <w:rsid w:val="00FD7252"/>
    <w:rsid w:val="00FE00FE"/>
    <w:rsid w:val="00FE0594"/>
    <w:rsid w:val="00FE3994"/>
    <w:rsid w:val="00FE7FE7"/>
    <w:rsid w:val="00FF33CD"/>
    <w:rsid w:val="00FF46B3"/>
    <w:rsid w:val="00FF52DD"/>
    <w:rsid w:val="00FF5E27"/>
    <w:rsid w:val="00FF666F"/>
    <w:rsid w:val="00FF6B8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D4B904B4-AD4A-4C14-93B8-15A494AB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059"/>
    <w:pPr>
      <w:spacing w:after="200" w:line="360" w:lineRule="auto"/>
      <w:jc w:val="both"/>
    </w:pPr>
    <w:rPr>
      <w:rFonts w:eastAsia="Times New Roman"/>
      <w:sz w:val="22"/>
      <w:szCs w:val="22"/>
      <w:lang w:val="es-ES" w:eastAsia="en-US"/>
    </w:rPr>
  </w:style>
  <w:style w:type="paragraph" w:styleId="Ttulo1">
    <w:name w:val="heading 1"/>
    <w:basedOn w:val="Normal"/>
    <w:next w:val="Normal"/>
    <w:link w:val="Ttulo1Car"/>
    <w:autoRedefine/>
    <w:qFormat/>
    <w:rsid w:val="006F6E56"/>
    <w:pPr>
      <w:keepNext/>
      <w:tabs>
        <w:tab w:val="left" w:pos="180"/>
      </w:tabs>
      <w:spacing w:after="0"/>
      <w:jc w:val="left"/>
      <w:outlineLvl w:val="0"/>
    </w:pPr>
    <w:rPr>
      <w:b/>
      <w:sz w:val="40"/>
      <w:szCs w:val="20"/>
      <w:lang w:eastAsia="es-ES"/>
    </w:rPr>
  </w:style>
  <w:style w:type="paragraph" w:styleId="Ttulo2">
    <w:name w:val="heading 2"/>
    <w:basedOn w:val="Normal"/>
    <w:next w:val="Normal"/>
    <w:link w:val="Ttulo2Car"/>
    <w:uiPriority w:val="9"/>
    <w:semiHidden/>
    <w:unhideWhenUsed/>
    <w:qFormat/>
    <w:rsid w:val="00AB5181"/>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B62BE"/>
    <w:rPr>
      <w:rFonts w:eastAsia="Times New Roman"/>
      <w:sz w:val="22"/>
      <w:szCs w:val="22"/>
      <w:lang w:val="es-ES_tradnl" w:eastAsia="en-US"/>
    </w:rPr>
  </w:style>
  <w:style w:type="paragraph" w:styleId="Prrafodelista">
    <w:name w:val="List Paragraph"/>
    <w:basedOn w:val="Normal"/>
    <w:uiPriority w:val="34"/>
    <w:qFormat/>
    <w:rsid w:val="002F0291"/>
    <w:pPr>
      <w:spacing w:after="0" w:line="240" w:lineRule="auto"/>
      <w:ind w:left="720"/>
      <w:contextualSpacing/>
      <w:jc w:val="left"/>
    </w:pPr>
  </w:style>
  <w:style w:type="character" w:customStyle="1" w:styleId="Ttulo1Car">
    <w:name w:val="Título 1 Car"/>
    <w:basedOn w:val="Fuentedeprrafopredeter"/>
    <w:link w:val="Ttulo1"/>
    <w:rsid w:val="006F6E56"/>
    <w:rPr>
      <w:rFonts w:eastAsia="Times New Roman"/>
      <w:b/>
      <w:sz w:val="40"/>
    </w:rPr>
  </w:style>
  <w:style w:type="character" w:customStyle="1" w:styleId="Ttulo2Car">
    <w:name w:val="Título 2 Car"/>
    <w:basedOn w:val="Fuentedeprrafopredeter"/>
    <w:link w:val="Ttulo2"/>
    <w:uiPriority w:val="9"/>
    <w:semiHidden/>
    <w:rsid w:val="00AB5181"/>
    <w:rPr>
      <w:rFonts w:ascii="Cambria" w:eastAsia="Times New Roman" w:hAnsi="Cambria" w:cs="Times New Roman"/>
      <w:b/>
      <w:bCs/>
      <w:i/>
      <w:iCs/>
      <w:sz w:val="28"/>
      <w:szCs w:val="28"/>
      <w:lang w:eastAsia="en-US"/>
    </w:rPr>
  </w:style>
  <w:style w:type="paragraph" w:styleId="Subttulo">
    <w:name w:val="Subtitle"/>
    <w:basedOn w:val="Normal"/>
    <w:next w:val="Normal"/>
    <w:link w:val="SubttuloCar"/>
    <w:uiPriority w:val="11"/>
    <w:qFormat/>
    <w:rsid w:val="00CA595D"/>
    <w:pPr>
      <w:spacing w:after="60"/>
      <w:jc w:val="center"/>
      <w:outlineLvl w:val="1"/>
    </w:pPr>
    <w:rPr>
      <w:rFonts w:ascii="Cambria" w:hAnsi="Cambria"/>
      <w:sz w:val="24"/>
      <w:szCs w:val="24"/>
    </w:rPr>
  </w:style>
  <w:style w:type="character" w:customStyle="1" w:styleId="SubttuloCar">
    <w:name w:val="Subtítulo Car"/>
    <w:basedOn w:val="Fuentedeprrafopredeter"/>
    <w:link w:val="Subttulo"/>
    <w:uiPriority w:val="11"/>
    <w:rsid w:val="00CA595D"/>
    <w:rPr>
      <w:rFonts w:ascii="Cambria" w:eastAsia="Times New Roman" w:hAnsi="Cambria" w:cs="Times New Roman"/>
      <w:sz w:val="24"/>
      <w:szCs w:val="24"/>
      <w:lang w:val="es-ES" w:eastAsia="en-US"/>
    </w:rPr>
  </w:style>
  <w:style w:type="table" w:styleId="Tablaconcuadrcula">
    <w:name w:val="Table Grid"/>
    <w:basedOn w:val="Tablanormal"/>
    <w:uiPriority w:val="59"/>
    <w:rsid w:val="00D75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33C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C00"/>
    <w:rPr>
      <w:rFonts w:ascii="Tahoma" w:eastAsia="Times New Roman"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4913">
      <w:bodyDiv w:val="1"/>
      <w:marLeft w:val="0"/>
      <w:marRight w:val="0"/>
      <w:marTop w:val="0"/>
      <w:marBottom w:val="0"/>
      <w:divBdr>
        <w:top w:val="none" w:sz="0" w:space="0" w:color="auto"/>
        <w:left w:val="none" w:sz="0" w:space="0" w:color="auto"/>
        <w:bottom w:val="none" w:sz="0" w:space="0" w:color="auto"/>
        <w:right w:val="none" w:sz="0" w:space="0" w:color="auto"/>
      </w:divBdr>
    </w:div>
    <w:div w:id="25371072">
      <w:bodyDiv w:val="1"/>
      <w:marLeft w:val="0"/>
      <w:marRight w:val="0"/>
      <w:marTop w:val="0"/>
      <w:marBottom w:val="0"/>
      <w:divBdr>
        <w:top w:val="none" w:sz="0" w:space="0" w:color="auto"/>
        <w:left w:val="none" w:sz="0" w:space="0" w:color="auto"/>
        <w:bottom w:val="none" w:sz="0" w:space="0" w:color="auto"/>
        <w:right w:val="none" w:sz="0" w:space="0" w:color="auto"/>
      </w:divBdr>
    </w:div>
    <w:div w:id="52392093">
      <w:bodyDiv w:val="1"/>
      <w:marLeft w:val="0"/>
      <w:marRight w:val="0"/>
      <w:marTop w:val="0"/>
      <w:marBottom w:val="0"/>
      <w:divBdr>
        <w:top w:val="none" w:sz="0" w:space="0" w:color="auto"/>
        <w:left w:val="none" w:sz="0" w:space="0" w:color="auto"/>
        <w:bottom w:val="none" w:sz="0" w:space="0" w:color="auto"/>
        <w:right w:val="none" w:sz="0" w:space="0" w:color="auto"/>
      </w:divBdr>
    </w:div>
    <w:div w:id="59063271">
      <w:bodyDiv w:val="1"/>
      <w:marLeft w:val="0"/>
      <w:marRight w:val="0"/>
      <w:marTop w:val="0"/>
      <w:marBottom w:val="0"/>
      <w:divBdr>
        <w:top w:val="none" w:sz="0" w:space="0" w:color="auto"/>
        <w:left w:val="none" w:sz="0" w:space="0" w:color="auto"/>
        <w:bottom w:val="none" w:sz="0" w:space="0" w:color="auto"/>
        <w:right w:val="none" w:sz="0" w:space="0" w:color="auto"/>
      </w:divBdr>
    </w:div>
    <w:div w:id="65497738">
      <w:bodyDiv w:val="1"/>
      <w:marLeft w:val="0"/>
      <w:marRight w:val="0"/>
      <w:marTop w:val="0"/>
      <w:marBottom w:val="0"/>
      <w:divBdr>
        <w:top w:val="none" w:sz="0" w:space="0" w:color="auto"/>
        <w:left w:val="none" w:sz="0" w:space="0" w:color="auto"/>
        <w:bottom w:val="none" w:sz="0" w:space="0" w:color="auto"/>
        <w:right w:val="none" w:sz="0" w:space="0" w:color="auto"/>
      </w:divBdr>
    </w:div>
    <w:div w:id="67121540">
      <w:bodyDiv w:val="1"/>
      <w:marLeft w:val="0"/>
      <w:marRight w:val="0"/>
      <w:marTop w:val="0"/>
      <w:marBottom w:val="0"/>
      <w:divBdr>
        <w:top w:val="none" w:sz="0" w:space="0" w:color="auto"/>
        <w:left w:val="none" w:sz="0" w:space="0" w:color="auto"/>
        <w:bottom w:val="none" w:sz="0" w:space="0" w:color="auto"/>
        <w:right w:val="none" w:sz="0" w:space="0" w:color="auto"/>
      </w:divBdr>
    </w:div>
    <w:div w:id="70473982">
      <w:bodyDiv w:val="1"/>
      <w:marLeft w:val="0"/>
      <w:marRight w:val="0"/>
      <w:marTop w:val="0"/>
      <w:marBottom w:val="0"/>
      <w:divBdr>
        <w:top w:val="none" w:sz="0" w:space="0" w:color="auto"/>
        <w:left w:val="none" w:sz="0" w:space="0" w:color="auto"/>
        <w:bottom w:val="none" w:sz="0" w:space="0" w:color="auto"/>
        <w:right w:val="none" w:sz="0" w:space="0" w:color="auto"/>
      </w:divBdr>
    </w:div>
    <w:div w:id="73358878">
      <w:bodyDiv w:val="1"/>
      <w:marLeft w:val="0"/>
      <w:marRight w:val="0"/>
      <w:marTop w:val="0"/>
      <w:marBottom w:val="0"/>
      <w:divBdr>
        <w:top w:val="none" w:sz="0" w:space="0" w:color="auto"/>
        <w:left w:val="none" w:sz="0" w:space="0" w:color="auto"/>
        <w:bottom w:val="none" w:sz="0" w:space="0" w:color="auto"/>
        <w:right w:val="none" w:sz="0" w:space="0" w:color="auto"/>
      </w:divBdr>
    </w:div>
    <w:div w:id="87772835">
      <w:bodyDiv w:val="1"/>
      <w:marLeft w:val="0"/>
      <w:marRight w:val="0"/>
      <w:marTop w:val="0"/>
      <w:marBottom w:val="0"/>
      <w:divBdr>
        <w:top w:val="none" w:sz="0" w:space="0" w:color="auto"/>
        <w:left w:val="none" w:sz="0" w:space="0" w:color="auto"/>
        <w:bottom w:val="none" w:sz="0" w:space="0" w:color="auto"/>
        <w:right w:val="none" w:sz="0" w:space="0" w:color="auto"/>
      </w:divBdr>
    </w:div>
    <w:div w:id="94903431">
      <w:bodyDiv w:val="1"/>
      <w:marLeft w:val="0"/>
      <w:marRight w:val="0"/>
      <w:marTop w:val="0"/>
      <w:marBottom w:val="0"/>
      <w:divBdr>
        <w:top w:val="none" w:sz="0" w:space="0" w:color="auto"/>
        <w:left w:val="none" w:sz="0" w:space="0" w:color="auto"/>
        <w:bottom w:val="none" w:sz="0" w:space="0" w:color="auto"/>
        <w:right w:val="none" w:sz="0" w:space="0" w:color="auto"/>
      </w:divBdr>
    </w:div>
    <w:div w:id="101610906">
      <w:bodyDiv w:val="1"/>
      <w:marLeft w:val="0"/>
      <w:marRight w:val="0"/>
      <w:marTop w:val="0"/>
      <w:marBottom w:val="0"/>
      <w:divBdr>
        <w:top w:val="none" w:sz="0" w:space="0" w:color="auto"/>
        <w:left w:val="none" w:sz="0" w:space="0" w:color="auto"/>
        <w:bottom w:val="none" w:sz="0" w:space="0" w:color="auto"/>
        <w:right w:val="none" w:sz="0" w:space="0" w:color="auto"/>
      </w:divBdr>
    </w:div>
    <w:div w:id="135413644">
      <w:bodyDiv w:val="1"/>
      <w:marLeft w:val="0"/>
      <w:marRight w:val="0"/>
      <w:marTop w:val="0"/>
      <w:marBottom w:val="0"/>
      <w:divBdr>
        <w:top w:val="none" w:sz="0" w:space="0" w:color="auto"/>
        <w:left w:val="none" w:sz="0" w:space="0" w:color="auto"/>
        <w:bottom w:val="none" w:sz="0" w:space="0" w:color="auto"/>
        <w:right w:val="none" w:sz="0" w:space="0" w:color="auto"/>
      </w:divBdr>
    </w:div>
    <w:div w:id="151912788">
      <w:bodyDiv w:val="1"/>
      <w:marLeft w:val="0"/>
      <w:marRight w:val="0"/>
      <w:marTop w:val="0"/>
      <w:marBottom w:val="0"/>
      <w:divBdr>
        <w:top w:val="none" w:sz="0" w:space="0" w:color="auto"/>
        <w:left w:val="none" w:sz="0" w:space="0" w:color="auto"/>
        <w:bottom w:val="none" w:sz="0" w:space="0" w:color="auto"/>
        <w:right w:val="none" w:sz="0" w:space="0" w:color="auto"/>
      </w:divBdr>
    </w:div>
    <w:div w:id="163513927">
      <w:bodyDiv w:val="1"/>
      <w:marLeft w:val="0"/>
      <w:marRight w:val="0"/>
      <w:marTop w:val="0"/>
      <w:marBottom w:val="0"/>
      <w:divBdr>
        <w:top w:val="none" w:sz="0" w:space="0" w:color="auto"/>
        <w:left w:val="none" w:sz="0" w:space="0" w:color="auto"/>
        <w:bottom w:val="none" w:sz="0" w:space="0" w:color="auto"/>
        <w:right w:val="none" w:sz="0" w:space="0" w:color="auto"/>
      </w:divBdr>
    </w:div>
    <w:div w:id="196088472">
      <w:bodyDiv w:val="1"/>
      <w:marLeft w:val="0"/>
      <w:marRight w:val="0"/>
      <w:marTop w:val="0"/>
      <w:marBottom w:val="0"/>
      <w:divBdr>
        <w:top w:val="none" w:sz="0" w:space="0" w:color="auto"/>
        <w:left w:val="none" w:sz="0" w:space="0" w:color="auto"/>
        <w:bottom w:val="none" w:sz="0" w:space="0" w:color="auto"/>
        <w:right w:val="none" w:sz="0" w:space="0" w:color="auto"/>
      </w:divBdr>
    </w:div>
    <w:div w:id="197669392">
      <w:bodyDiv w:val="1"/>
      <w:marLeft w:val="0"/>
      <w:marRight w:val="0"/>
      <w:marTop w:val="0"/>
      <w:marBottom w:val="0"/>
      <w:divBdr>
        <w:top w:val="none" w:sz="0" w:space="0" w:color="auto"/>
        <w:left w:val="none" w:sz="0" w:space="0" w:color="auto"/>
        <w:bottom w:val="none" w:sz="0" w:space="0" w:color="auto"/>
        <w:right w:val="none" w:sz="0" w:space="0" w:color="auto"/>
      </w:divBdr>
    </w:div>
    <w:div w:id="203715876">
      <w:bodyDiv w:val="1"/>
      <w:marLeft w:val="0"/>
      <w:marRight w:val="0"/>
      <w:marTop w:val="0"/>
      <w:marBottom w:val="0"/>
      <w:divBdr>
        <w:top w:val="none" w:sz="0" w:space="0" w:color="auto"/>
        <w:left w:val="none" w:sz="0" w:space="0" w:color="auto"/>
        <w:bottom w:val="none" w:sz="0" w:space="0" w:color="auto"/>
        <w:right w:val="none" w:sz="0" w:space="0" w:color="auto"/>
      </w:divBdr>
    </w:div>
    <w:div w:id="223298904">
      <w:bodyDiv w:val="1"/>
      <w:marLeft w:val="0"/>
      <w:marRight w:val="0"/>
      <w:marTop w:val="0"/>
      <w:marBottom w:val="0"/>
      <w:divBdr>
        <w:top w:val="none" w:sz="0" w:space="0" w:color="auto"/>
        <w:left w:val="none" w:sz="0" w:space="0" w:color="auto"/>
        <w:bottom w:val="none" w:sz="0" w:space="0" w:color="auto"/>
        <w:right w:val="none" w:sz="0" w:space="0" w:color="auto"/>
      </w:divBdr>
    </w:div>
    <w:div w:id="225183598">
      <w:bodyDiv w:val="1"/>
      <w:marLeft w:val="0"/>
      <w:marRight w:val="0"/>
      <w:marTop w:val="0"/>
      <w:marBottom w:val="0"/>
      <w:divBdr>
        <w:top w:val="none" w:sz="0" w:space="0" w:color="auto"/>
        <w:left w:val="none" w:sz="0" w:space="0" w:color="auto"/>
        <w:bottom w:val="none" w:sz="0" w:space="0" w:color="auto"/>
        <w:right w:val="none" w:sz="0" w:space="0" w:color="auto"/>
      </w:divBdr>
    </w:div>
    <w:div w:id="235628678">
      <w:bodyDiv w:val="1"/>
      <w:marLeft w:val="0"/>
      <w:marRight w:val="0"/>
      <w:marTop w:val="0"/>
      <w:marBottom w:val="0"/>
      <w:divBdr>
        <w:top w:val="none" w:sz="0" w:space="0" w:color="auto"/>
        <w:left w:val="none" w:sz="0" w:space="0" w:color="auto"/>
        <w:bottom w:val="none" w:sz="0" w:space="0" w:color="auto"/>
        <w:right w:val="none" w:sz="0" w:space="0" w:color="auto"/>
      </w:divBdr>
    </w:div>
    <w:div w:id="253785153">
      <w:bodyDiv w:val="1"/>
      <w:marLeft w:val="0"/>
      <w:marRight w:val="0"/>
      <w:marTop w:val="0"/>
      <w:marBottom w:val="0"/>
      <w:divBdr>
        <w:top w:val="none" w:sz="0" w:space="0" w:color="auto"/>
        <w:left w:val="none" w:sz="0" w:space="0" w:color="auto"/>
        <w:bottom w:val="none" w:sz="0" w:space="0" w:color="auto"/>
        <w:right w:val="none" w:sz="0" w:space="0" w:color="auto"/>
      </w:divBdr>
    </w:div>
    <w:div w:id="254365685">
      <w:bodyDiv w:val="1"/>
      <w:marLeft w:val="0"/>
      <w:marRight w:val="0"/>
      <w:marTop w:val="0"/>
      <w:marBottom w:val="0"/>
      <w:divBdr>
        <w:top w:val="none" w:sz="0" w:space="0" w:color="auto"/>
        <w:left w:val="none" w:sz="0" w:space="0" w:color="auto"/>
        <w:bottom w:val="none" w:sz="0" w:space="0" w:color="auto"/>
        <w:right w:val="none" w:sz="0" w:space="0" w:color="auto"/>
      </w:divBdr>
    </w:div>
    <w:div w:id="265967718">
      <w:bodyDiv w:val="1"/>
      <w:marLeft w:val="0"/>
      <w:marRight w:val="0"/>
      <w:marTop w:val="0"/>
      <w:marBottom w:val="0"/>
      <w:divBdr>
        <w:top w:val="none" w:sz="0" w:space="0" w:color="auto"/>
        <w:left w:val="none" w:sz="0" w:space="0" w:color="auto"/>
        <w:bottom w:val="none" w:sz="0" w:space="0" w:color="auto"/>
        <w:right w:val="none" w:sz="0" w:space="0" w:color="auto"/>
      </w:divBdr>
    </w:div>
    <w:div w:id="319621399">
      <w:bodyDiv w:val="1"/>
      <w:marLeft w:val="0"/>
      <w:marRight w:val="0"/>
      <w:marTop w:val="0"/>
      <w:marBottom w:val="0"/>
      <w:divBdr>
        <w:top w:val="none" w:sz="0" w:space="0" w:color="auto"/>
        <w:left w:val="none" w:sz="0" w:space="0" w:color="auto"/>
        <w:bottom w:val="none" w:sz="0" w:space="0" w:color="auto"/>
        <w:right w:val="none" w:sz="0" w:space="0" w:color="auto"/>
      </w:divBdr>
    </w:div>
    <w:div w:id="325474607">
      <w:bodyDiv w:val="1"/>
      <w:marLeft w:val="0"/>
      <w:marRight w:val="0"/>
      <w:marTop w:val="0"/>
      <w:marBottom w:val="0"/>
      <w:divBdr>
        <w:top w:val="none" w:sz="0" w:space="0" w:color="auto"/>
        <w:left w:val="none" w:sz="0" w:space="0" w:color="auto"/>
        <w:bottom w:val="none" w:sz="0" w:space="0" w:color="auto"/>
        <w:right w:val="none" w:sz="0" w:space="0" w:color="auto"/>
      </w:divBdr>
    </w:div>
    <w:div w:id="345794040">
      <w:bodyDiv w:val="1"/>
      <w:marLeft w:val="0"/>
      <w:marRight w:val="0"/>
      <w:marTop w:val="0"/>
      <w:marBottom w:val="0"/>
      <w:divBdr>
        <w:top w:val="none" w:sz="0" w:space="0" w:color="auto"/>
        <w:left w:val="none" w:sz="0" w:space="0" w:color="auto"/>
        <w:bottom w:val="none" w:sz="0" w:space="0" w:color="auto"/>
        <w:right w:val="none" w:sz="0" w:space="0" w:color="auto"/>
      </w:divBdr>
    </w:div>
    <w:div w:id="350224689">
      <w:bodyDiv w:val="1"/>
      <w:marLeft w:val="0"/>
      <w:marRight w:val="0"/>
      <w:marTop w:val="0"/>
      <w:marBottom w:val="0"/>
      <w:divBdr>
        <w:top w:val="none" w:sz="0" w:space="0" w:color="auto"/>
        <w:left w:val="none" w:sz="0" w:space="0" w:color="auto"/>
        <w:bottom w:val="none" w:sz="0" w:space="0" w:color="auto"/>
        <w:right w:val="none" w:sz="0" w:space="0" w:color="auto"/>
      </w:divBdr>
    </w:div>
    <w:div w:id="368334328">
      <w:bodyDiv w:val="1"/>
      <w:marLeft w:val="0"/>
      <w:marRight w:val="0"/>
      <w:marTop w:val="0"/>
      <w:marBottom w:val="0"/>
      <w:divBdr>
        <w:top w:val="none" w:sz="0" w:space="0" w:color="auto"/>
        <w:left w:val="none" w:sz="0" w:space="0" w:color="auto"/>
        <w:bottom w:val="none" w:sz="0" w:space="0" w:color="auto"/>
        <w:right w:val="none" w:sz="0" w:space="0" w:color="auto"/>
      </w:divBdr>
    </w:div>
    <w:div w:id="375663270">
      <w:bodyDiv w:val="1"/>
      <w:marLeft w:val="0"/>
      <w:marRight w:val="0"/>
      <w:marTop w:val="0"/>
      <w:marBottom w:val="0"/>
      <w:divBdr>
        <w:top w:val="none" w:sz="0" w:space="0" w:color="auto"/>
        <w:left w:val="none" w:sz="0" w:space="0" w:color="auto"/>
        <w:bottom w:val="none" w:sz="0" w:space="0" w:color="auto"/>
        <w:right w:val="none" w:sz="0" w:space="0" w:color="auto"/>
      </w:divBdr>
    </w:div>
    <w:div w:id="396517864">
      <w:bodyDiv w:val="1"/>
      <w:marLeft w:val="0"/>
      <w:marRight w:val="0"/>
      <w:marTop w:val="0"/>
      <w:marBottom w:val="0"/>
      <w:divBdr>
        <w:top w:val="none" w:sz="0" w:space="0" w:color="auto"/>
        <w:left w:val="none" w:sz="0" w:space="0" w:color="auto"/>
        <w:bottom w:val="none" w:sz="0" w:space="0" w:color="auto"/>
        <w:right w:val="none" w:sz="0" w:space="0" w:color="auto"/>
      </w:divBdr>
    </w:div>
    <w:div w:id="420151468">
      <w:bodyDiv w:val="1"/>
      <w:marLeft w:val="0"/>
      <w:marRight w:val="0"/>
      <w:marTop w:val="0"/>
      <w:marBottom w:val="0"/>
      <w:divBdr>
        <w:top w:val="none" w:sz="0" w:space="0" w:color="auto"/>
        <w:left w:val="none" w:sz="0" w:space="0" w:color="auto"/>
        <w:bottom w:val="none" w:sz="0" w:space="0" w:color="auto"/>
        <w:right w:val="none" w:sz="0" w:space="0" w:color="auto"/>
      </w:divBdr>
    </w:div>
    <w:div w:id="437913652">
      <w:bodyDiv w:val="1"/>
      <w:marLeft w:val="0"/>
      <w:marRight w:val="0"/>
      <w:marTop w:val="0"/>
      <w:marBottom w:val="0"/>
      <w:divBdr>
        <w:top w:val="none" w:sz="0" w:space="0" w:color="auto"/>
        <w:left w:val="none" w:sz="0" w:space="0" w:color="auto"/>
        <w:bottom w:val="none" w:sz="0" w:space="0" w:color="auto"/>
        <w:right w:val="none" w:sz="0" w:space="0" w:color="auto"/>
      </w:divBdr>
    </w:div>
    <w:div w:id="443424800">
      <w:bodyDiv w:val="1"/>
      <w:marLeft w:val="0"/>
      <w:marRight w:val="0"/>
      <w:marTop w:val="0"/>
      <w:marBottom w:val="0"/>
      <w:divBdr>
        <w:top w:val="none" w:sz="0" w:space="0" w:color="auto"/>
        <w:left w:val="none" w:sz="0" w:space="0" w:color="auto"/>
        <w:bottom w:val="none" w:sz="0" w:space="0" w:color="auto"/>
        <w:right w:val="none" w:sz="0" w:space="0" w:color="auto"/>
      </w:divBdr>
    </w:div>
    <w:div w:id="452986101">
      <w:bodyDiv w:val="1"/>
      <w:marLeft w:val="0"/>
      <w:marRight w:val="0"/>
      <w:marTop w:val="0"/>
      <w:marBottom w:val="0"/>
      <w:divBdr>
        <w:top w:val="none" w:sz="0" w:space="0" w:color="auto"/>
        <w:left w:val="none" w:sz="0" w:space="0" w:color="auto"/>
        <w:bottom w:val="none" w:sz="0" w:space="0" w:color="auto"/>
        <w:right w:val="none" w:sz="0" w:space="0" w:color="auto"/>
      </w:divBdr>
    </w:div>
    <w:div w:id="494296160">
      <w:bodyDiv w:val="1"/>
      <w:marLeft w:val="0"/>
      <w:marRight w:val="0"/>
      <w:marTop w:val="0"/>
      <w:marBottom w:val="0"/>
      <w:divBdr>
        <w:top w:val="none" w:sz="0" w:space="0" w:color="auto"/>
        <w:left w:val="none" w:sz="0" w:space="0" w:color="auto"/>
        <w:bottom w:val="none" w:sz="0" w:space="0" w:color="auto"/>
        <w:right w:val="none" w:sz="0" w:space="0" w:color="auto"/>
      </w:divBdr>
    </w:div>
    <w:div w:id="527253724">
      <w:bodyDiv w:val="1"/>
      <w:marLeft w:val="0"/>
      <w:marRight w:val="0"/>
      <w:marTop w:val="0"/>
      <w:marBottom w:val="0"/>
      <w:divBdr>
        <w:top w:val="none" w:sz="0" w:space="0" w:color="auto"/>
        <w:left w:val="none" w:sz="0" w:space="0" w:color="auto"/>
        <w:bottom w:val="none" w:sz="0" w:space="0" w:color="auto"/>
        <w:right w:val="none" w:sz="0" w:space="0" w:color="auto"/>
      </w:divBdr>
    </w:div>
    <w:div w:id="530414319">
      <w:bodyDiv w:val="1"/>
      <w:marLeft w:val="0"/>
      <w:marRight w:val="0"/>
      <w:marTop w:val="0"/>
      <w:marBottom w:val="0"/>
      <w:divBdr>
        <w:top w:val="none" w:sz="0" w:space="0" w:color="auto"/>
        <w:left w:val="none" w:sz="0" w:space="0" w:color="auto"/>
        <w:bottom w:val="none" w:sz="0" w:space="0" w:color="auto"/>
        <w:right w:val="none" w:sz="0" w:space="0" w:color="auto"/>
      </w:divBdr>
    </w:div>
    <w:div w:id="556742937">
      <w:bodyDiv w:val="1"/>
      <w:marLeft w:val="0"/>
      <w:marRight w:val="0"/>
      <w:marTop w:val="0"/>
      <w:marBottom w:val="0"/>
      <w:divBdr>
        <w:top w:val="none" w:sz="0" w:space="0" w:color="auto"/>
        <w:left w:val="none" w:sz="0" w:space="0" w:color="auto"/>
        <w:bottom w:val="none" w:sz="0" w:space="0" w:color="auto"/>
        <w:right w:val="none" w:sz="0" w:space="0" w:color="auto"/>
      </w:divBdr>
    </w:div>
    <w:div w:id="570233966">
      <w:bodyDiv w:val="1"/>
      <w:marLeft w:val="0"/>
      <w:marRight w:val="0"/>
      <w:marTop w:val="0"/>
      <w:marBottom w:val="0"/>
      <w:divBdr>
        <w:top w:val="none" w:sz="0" w:space="0" w:color="auto"/>
        <w:left w:val="none" w:sz="0" w:space="0" w:color="auto"/>
        <w:bottom w:val="none" w:sz="0" w:space="0" w:color="auto"/>
        <w:right w:val="none" w:sz="0" w:space="0" w:color="auto"/>
      </w:divBdr>
    </w:div>
    <w:div w:id="572664732">
      <w:bodyDiv w:val="1"/>
      <w:marLeft w:val="0"/>
      <w:marRight w:val="0"/>
      <w:marTop w:val="0"/>
      <w:marBottom w:val="0"/>
      <w:divBdr>
        <w:top w:val="none" w:sz="0" w:space="0" w:color="auto"/>
        <w:left w:val="none" w:sz="0" w:space="0" w:color="auto"/>
        <w:bottom w:val="none" w:sz="0" w:space="0" w:color="auto"/>
        <w:right w:val="none" w:sz="0" w:space="0" w:color="auto"/>
      </w:divBdr>
    </w:div>
    <w:div w:id="588468761">
      <w:bodyDiv w:val="1"/>
      <w:marLeft w:val="0"/>
      <w:marRight w:val="0"/>
      <w:marTop w:val="0"/>
      <w:marBottom w:val="0"/>
      <w:divBdr>
        <w:top w:val="none" w:sz="0" w:space="0" w:color="auto"/>
        <w:left w:val="none" w:sz="0" w:space="0" w:color="auto"/>
        <w:bottom w:val="none" w:sz="0" w:space="0" w:color="auto"/>
        <w:right w:val="none" w:sz="0" w:space="0" w:color="auto"/>
      </w:divBdr>
    </w:div>
    <w:div w:id="613748521">
      <w:bodyDiv w:val="1"/>
      <w:marLeft w:val="0"/>
      <w:marRight w:val="0"/>
      <w:marTop w:val="0"/>
      <w:marBottom w:val="0"/>
      <w:divBdr>
        <w:top w:val="none" w:sz="0" w:space="0" w:color="auto"/>
        <w:left w:val="none" w:sz="0" w:space="0" w:color="auto"/>
        <w:bottom w:val="none" w:sz="0" w:space="0" w:color="auto"/>
        <w:right w:val="none" w:sz="0" w:space="0" w:color="auto"/>
      </w:divBdr>
    </w:div>
    <w:div w:id="627005178">
      <w:bodyDiv w:val="1"/>
      <w:marLeft w:val="0"/>
      <w:marRight w:val="0"/>
      <w:marTop w:val="0"/>
      <w:marBottom w:val="0"/>
      <w:divBdr>
        <w:top w:val="none" w:sz="0" w:space="0" w:color="auto"/>
        <w:left w:val="none" w:sz="0" w:space="0" w:color="auto"/>
        <w:bottom w:val="none" w:sz="0" w:space="0" w:color="auto"/>
        <w:right w:val="none" w:sz="0" w:space="0" w:color="auto"/>
      </w:divBdr>
    </w:div>
    <w:div w:id="627858950">
      <w:bodyDiv w:val="1"/>
      <w:marLeft w:val="0"/>
      <w:marRight w:val="0"/>
      <w:marTop w:val="0"/>
      <w:marBottom w:val="0"/>
      <w:divBdr>
        <w:top w:val="none" w:sz="0" w:space="0" w:color="auto"/>
        <w:left w:val="none" w:sz="0" w:space="0" w:color="auto"/>
        <w:bottom w:val="none" w:sz="0" w:space="0" w:color="auto"/>
        <w:right w:val="none" w:sz="0" w:space="0" w:color="auto"/>
      </w:divBdr>
    </w:div>
    <w:div w:id="639269114">
      <w:bodyDiv w:val="1"/>
      <w:marLeft w:val="0"/>
      <w:marRight w:val="0"/>
      <w:marTop w:val="0"/>
      <w:marBottom w:val="0"/>
      <w:divBdr>
        <w:top w:val="none" w:sz="0" w:space="0" w:color="auto"/>
        <w:left w:val="none" w:sz="0" w:space="0" w:color="auto"/>
        <w:bottom w:val="none" w:sz="0" w:space="0" w:color="auto"/>
        <w:right w:val="none" w:sz="0" w:space="0" w:color="auto"/>
      </w:divBdr>
    </w:div>
    <w:div w:id="649678744">
      <w:bodyDiv w:val="1"/>
      <w:marLeft w:val="0"/>
      <w:marRight w:val="0"/>
      <w:marTop w:val="0"/>
      <w:marBottom w:val="0"/>
      <w:divBdr>
        <w:top w:val="none" w:sz="0" w:space="0" w:color="auto"/>
        <w:left w:val="none" w:sz="0" w:space="0" w:color="auto"/>
        <w:bottom w:val="none" w:sz="0" w:space="0" w:color="auto"/>
        <w:right w:val="none" w:sz="0" w:space="0" w:color="auto"/>
      </w:divBdr>
    </w:div>
    <w:div w:id="655450213">
      <w:bodyDiv w:val="1"/>
      <w:marLeft w:val="0"/>
      <w:marRight w:val="0"/>
      <w:marTop w:val="0"/>
      <w:marBottom w:val="0"/>
      <w:divBdr>
        <w:top w:val="none" w:sz="0" w:space="0" w:color="auto"/>
        <w:left w:val="none" w:sz="0" w:space="0" w:color="auto"/>
        <w:bottom w:val="none" w:sz="0" w:space="0" w:color="auto"/>
        <w:right w:val="none" w:sz="0" w:space="0" w:color="auto"/>
      </w:divBdr>
    </w:div>
    <w:div w:id="657030477">
      <w:bodyDiv w:val="1"/>
      <w:marLeft w:val="0"/>
      <w:marRight w:val="0"/>
      <w:marTop w:val="0"/>
      <w:marBottom w:val="0"/>
      <w:divBdr>
        <w:top w:val="none" w:sz="0" w:space="0" w:color="auto"/>
        <w:left w:val="none" w:sz="0" w:space="0" w:color="auto"/>
        <w:bottom w:val="none" w:sz="0" w:space="0" w:color="auto"/>
        <w:right w:val="none" w:sz="0" w:space="0" w:color="auto"/>
      </w:divBdr>
    </w:div>
    <w:div w:id="710304075">
      <w:bodyDiv w:val="1"/>
      <w:marLeft w:val="0"/>
      <w:marRight w:val="0"/>
      <w:marTop w:val="0"/>
      <w:marBottom w:val="0"/>
      <w:divBdr>
        <w:top w:val="none" w:sz="0" w:space="0" w:color="auto"/>
        <w:left w:val="none" w:sz="0" w:space="0" w:color="auto"/>
        <w:bottom w:val="none" w:sz="0" w:space="0" w:color="auto"/>
        <w:right w:val="none" w:sz="0" w:space="0" w:color="auto"/>
      </w:divBdr>
    </w:div>
    <w:div w:id="749233906">
      <w:bodyDiv w:val="1"/>
      <w:marLeft w:val="0"/>
      <w:marRight w:val="0"/>
      <w:marTop w:val="0"/>
      <w:marBottom w:val="0"/>
      <w:divBdr>
        <w:top w:val="none" w:sz="0" w:space="0" w:color="auto"/>
        <w:left w:val="none" w:sz="0" w:space="0" w:color="auto"/>
        <w:bottom w:val="none" w:sz="0" w:space="0" w:color="auto"/>
        <w:right w:val="none" w:sz="0" w:space="0" w:color="auto"/>
      </w:divBdr>
    </w:div>
    <w:div w:id="762147749">
      <w:bodyDiv w:val="1"/>
      <w:marLeft w:val="0"/>
      <w:marRight w:val="0"/>
      <w:marTop w:val="0"/>
      <w:marBottom w:val="0"/>
      <w:divBdr>
        <w:top w:val="none" w:sz="0" w:space="0" w:color="auto"/>
        <w:left w:val="none" w:sz="0" w:space="0" w:color="auto"/>
        <w:bottom w:val="none" w:sz="0" w:space="0" w:color="auto"/>
        <w:right w:val="none" w:sz="0" w:space="0" w:color="auto"/>
      </w:divBdr>
    </w:div>
    <w:div w:id="781724217">
      <w:bodyDiv w:val="1"/>
      <w:marLeft w:val="0"/>
      <w:marRight w:val="0"/>
      <w:marTop w:val="0"/>
      <w:marBottom w:val="0"/>
      <w:divBdr>
        <w:top w:val="none" w:sz="0" w:space="0" w:color="auto"/>
        <w:left w:val="none" w:sz="0" w:space="0" w:color="auto"/>
        <w:bottom w:val="none" w:sz="0" w:space="0" w:color="auto"/>
        <w:right w:val="none" w:sz="0" w:space="0" w:color="auto"/>
      </w:divBdr>
    </w:div>
    <w:div w:id="792866724">
      <w:bodyDiv w:val="1"/>
      <w:marLeft w:val="0"/>
      <w:marRight w:val="0"/>
      <w:marTop w:val="0"/>
      <w:marBottom w:val="0"/>
      <w:divBdr>
        <w:top w:val="none" w:sz="0" w:space="0" w:color="auto"/>
        <w:left w:val="none" w:sz="0" w:space="0" w:color="auto"/>
        <w:bottom w:val="none" w:sz="0" w:space="0" w:color="auto"/>
        <w:right w:val="none" w:sz="0" w:space="0" w:color="auto"/>
      </w:divBdr>
    </w:div>
    <w:div w:id="804660238">
      <w:bodyDiv w:val="1"/>
      <w:marLeft w:val="0"/>
      <w:marRight w:val="0"/>
      <w:marTop w:val="0"/>
      <w:marBottom w:val="0"/>
      <w:divBdr>
        <w:top w:val="none" w:sz="0" w:space="0" w:color="auto"/>
        <w:left w:val="none" w:sz="0" w:space="0" w:color="auto"/>
        <w:bottom w:val="none" w:sz="0" w:space="0" w:color="auto"/>
        <w:right w:val="none" w:sz="0" w:space="0" w:color="auto"/>
      </w:divBdr>
    </w:div>
    <w:div w:id="813790032">
      <w:bodyDiv w:val="1"/>
      <w:marLeft w:val="0"/>
      <w:marRight w:val="0"/>
      <w:marTop w:val="0"/>
      <w:marBottom w:val="0"/>
      <w:divBdr>
        <w:top w:val="none" w:sz="0" w:space="0" w:color="auto"/>
        <w:left w:val="none" w:sz="0" w:space="0" w:color="auto"/>
        <w:bottom w:val="none" w:sz="0" w:space="0" w:color="auto"/>
        <w:right w:val="none" w:sz="0" w:space="0" w:color="auto"/>
      </w:divBdr>
    </w:div>
    <w:div w:id="823742025">
      <w:bodyDiv w:val="1"/>
      <w:marLeft w:val="0"/>
      <w:marRight w:val="0"/>
      <w:marTop w:val="0"/>
      <w:marBottom w:val="0"/>
      <w:divBdr>
        <w:top w:val="none" w:sz="0" w:space="0" w:color="auto"/>
        <w:left w:val="none" w:sz="0" w:space="0" w:color="auto"/>
        <w:bottom w:val="none" w:sz="0" w:space="0" w:color="auto"/>
        <w:right w:val="none" w:sz="0" w:space="0" w:color="auto"/>
      </w:divBdr>
    </w:div>
    <w:div w:id="861672762">
      <w:bodyDiv w:val="1"/>
      <w:marLeft w:val="0"/>
      <w:marRight w:val="0"/>
      <w:marTop w:val="0"/>
      <w:marBottom w:val="0"/>
      <w:divBdr>
        <w:top w:val="none" w:sz="0" w:space="0" w:color="auto"/>
        <w:left w:val="none" w:sz="0" w:space="0" w:color="auto"/>
        <w:bottom w:val="none" w:sz="0" w:space="0" w:color="auto"/>
        <w:right w:val="none" w:sz="0" w:space="0" w:color="auto"/>
      </w:divBdr>
    </w:div>
    <w:div w:id="865606583">
      <w:bodyDiv w:val="1"/>
      <w:marLeft w:val="0"/>
      <w:marRight w:val="0"/>
      <w:marTop w:val="0"/>
      <w:marBottom w:val="0"/>
      <w:divBdr>
        <w:top w:val="none" w:sz="0" w:space="0" w:color="auto"/>
        <w:left w:val="none" w:sz="0" w:space="0" w:color="auto"/>
        <w:bottom w:val="none" w:sz="0" w:space="0" w:color="auto"/>
        <w:right w:val="none" w:sz="0" w:space="0" w:color="auto"/>
      </w:divBdr>
    </w:div>
    <w:div w:id="896431882">
      <w:bodyDiv w:val="1"/>
      <w:marLeft w:val="0"/>
      <w:marRight w:val="0"/>
      <w:marTop w:val="0"/>
      <w:marBottom w:val="0"/>
      <w:divBdr>
        <w:top w:val="none" w:sz="0" w:space="0" w:color="auto"/>
        <w:left w:val="none" w:sz="0" w:space="0" w:color="auto"/>
        <w:bottom w:val="none" w:sz="0" w:space="0" w:color="auto"/>
        <w:right w:val="none" w:sz="0" w:space="0" w:color="auto"/>
      </w:divBdr>
    </w:div>
    <w:div w:id="902839756">
      <w:bodyDiv w:val="1"/>
      <w:marLeft w:val="0"/>
      <w:marRight w:val="0"/>
      <w:marTop w:val="0"/>
      <w:marBottom w:val="0"/>
      <w:divBdr>
        <w:top w:val="none" w:sz="0" w:space="0" w:color="auto"/>
        <w:left w:val="none" w:sz="0" w:space="0" w:color="auto"/>
        <w:bottom w:val="none" w:sz="0" w:space="0" w:color="auto"/>
        <w:right w:val="none" w:sz="0" w:space="0" w:color="auto"/>
      </w:divBdr>
    </w:div>
    <w:div w:id="909508806">
      <w:bodyDiv w:val="1"/>
      <w:marLeft w:val="0"/>
      <w:marRight w:val="0"/>
      <w:marTop w:val="0"/>
      <w:marBottom w:val="0"/>
      <w:divBdr>
        <w:top w:val="none" w:sz="0" w:space="0" w:color="auto"/>
        <w:left w:val="none" w:sz="0" w:space="0" w:color="auto"/>
        <w:bottom w:val="none" w:sz="0" w:space="0" w:color="auto"/>
        <w:right w:val="none" w:sz="0" w:space="0" w:color="auto"/>
      </w:divBdr>
    </w:div>
    <w:div w:id="928739222">
      <w:bodyDiv w:val="1"/>
      <w:marLeft w:val="0"/>
      <w:marRight w:val="0"/>
      <w:marTop w:val="0"/>
      <w:marBottom w:val="0"/>
      <w:divBdr>
        <w:top w:val="none" w:sz="0" w:space="0" w:color="auto"/>
        <w:left w:val="none" w:sz="0" w:space="0" w:color="auto"/>
        <w:bottom w:val="none" w:sz="0" w:space="0" w:color="auto"/>
        <w:right w:val="none" w:sz="0" w:space="0" w:color="auto"/>
      </w:divBdr>
    </w:div>
    <w:div w:id="933787699">
      <w:bodyDiv w:val="1"/>
      <w:marLeft w:val="0"/>
      <w:marRight w:val="0"/>
      <w:marTop w:val="0"/>
      <w:marBottom w:val="0"/>
      <w:divBdr>
        <w:top w:val="none" w:sz="0" w:space="0" w:color="auto"/>
        <w:left w:val="none" w:sz="0" w:space="0" w:color="auto"/>
        <w:bottom w:val="none" w:sz="0" w:space="0" w:color="auto"/>
        <w:right w:val="none" w:sz="0" w:space="0" w:color="auto"/>
      </w:divBdr>
    </w:div>
    <w:div w:id="940573575">
      <w:bodyDiv w:val="1"/>
      <w:marLeft w:val="0"/>
      <w:marRight w:val="0"/>
      <w:marTop w:val="0"/>
      <w:marBottom w:val="0"/>
      <w:divBdr>
        <w:top w:val="none" w:sz="0" w:space="0" w:color="auto"/>
        <w:left w:val="none" w:sz="0" w:space="0" w:color="auto"/>
        <w:bottom w:val="none" w:sz="0" w:space="0" w:color="auto"/>
        <w:right w:val="none" w:sz="0" w:space="0" w:color="auto"/>
      </w:divBdr>
    </w:div>
    <w:div w:id="943464770">
      <w:bodyDiv w:val="1"/>
      <w:marLeft w:val="0"/>
      <w:marRight w:val="0"/>
      <w:marTop w:val="0"/>
      <w:marBottom w:val="0"/>
      <w:divBdr>
        <w:top w:val="none" w:sz="0" w:space="0" w:color="auto"/>
        <w:left w:val="none" w:sz="0" w:space="0" w:color="auto"/>
        <w:bottom w:val="none" w:sz="0" w:space="0" w:color="auto"/>
        <w:right w:val="none" w:sz="0" w:space="0" w:color="auto"/>
      </w:divBdr>
    </w:div>
    <w:div w:id="943852939">
      <w:bodyDiv w:val="1"/>
      <w:marLeft w:val="0"/>
      <w:marRight w:val="0"/>
      <w:marTop w:val="0"/>
      <w:marBottom w:val="0"/>
      <w:divBdr>
        <w:top w:val="none" w:sz="0" w:space="0" w:color="auto"/>
        <w:left w:val="none" w:sz="0" w:space="0" w:color="auto"/>
        <w:bottom w:val="none" w:sz="0" w:space="0" w:color="auto"/>
        <w:right w:val="none" w:sz="0" w:space="0" w:color="auto"/>
      </w:divBdr>
    </w:div>
    <w:div w:id="952394925">
      <w:bodyDiv w:val="1"/>
      <w:marLeft w:val="0"/>
      <w:marRight w:val="0"/>
      <w:marTop w:val="0"/>
      <w:marBottom w:val="0"/>
      <w:divBdr>
        <w:top w:val="none" w:sz="0" w:space="0" w:color="auto"/>
        <w:left w:val="none" w:sz="0" w:space="0" w:color="auto"/>
        <w:bottom w:val="none" w:sz="0" w:space="0" w:color="auto"/>
        <w:right w:val="none" w:sz="0" w:space="0" w:color="auto"/>
      </w:divBdr>
    </w:div>
    <w:div w:id="953052621">
      <w:bodyDiv w:val="1"/>
      <w:marLeft w:val="0"/>
      <w:marRight w:val="0"/>
      <w:marTop w:val="0"/>
      <w:marBottom w:val="0"/>
      <w:divBdr>
        <w:top w:val="none" w:sz="0" w:space="0" w:color="auto"/>
        <w:left w:val="none" w:sz="0" w:space="0" w:color="auto"/>
        <w:bottom w:val="none" w:sz="0" w:space="0" w:color="auto"/>
        <w:right w:val="none" w:sz="0" w:space="0" w:color="auto"/>
      </w:divBdr>
    </w:div>
    <w:div w:id="957108849">
      <w:bodyDiv w:val="1"/>
      <w:marLeft w:val="0"/>
      <w:marRight w:val="0"/>
      <w:marTop w:val="0"/>
      <w:marBottom w:val="0"/>
      <w:divBdr>
        <w:top w:val="none" w:sz="0" w:space="0" w:color="auto"/>
        <w:left w:val="none" w:sz="0" w:space="0" w:color="auto"/>
        <w:bottom w:val="none" w:sz="0" w:space="0" w:color="auto"/>
        <w:right w:val="none" w:sz="0" w:space="0" w:color="auto"/>
      </w:divBdr>
    </w:div>
    <w:div w:id="965890147">
      <w:bodyDiv w:val="1"/>
      <w:marLeft w:val="0"/>
      <w:marRight w:val="0"/>
      <w:marTop w:val="0"/>
      <w:marBottom w:val="0"/>
      <w:divBdr>
        <w:top w:val="none" w:sz="0" w:space="0" w:color="auto"/>
        <w:left w:val="none" w:sz="0" w:space="0" w:color="auto"/>
        <w:bottom w:val="none" w:sz="0" w:space="0" w:color="auto"/>
        <w:right w:val="none" w:sz="0" w:space="0" w:color="auto"/>
      </w:divBdr>
    </w:div>
    <w:div w:id="987368255">
      <w:bodyDiv w:val="1"/>
      <w:marLeft w:val="0"/>
      <w:marRight w:val="0"/>
      <w:marTop w:val="0"/>
      <w:marBottom w:val="0"/>
      <w:divBdr>
        <w:top w:val="none" w:sz="0" w:space="0" w:color="auto"/>
        <w:left w:val="none" w:sz="0" w:space="0" w:color="auto"/>
        <w:bottom w:val="none" w:sz="0" w:space="0" w:color="auto"/>
        <w:right w:val="none" w:sz="0" w:space="0" w:color="auto"/>
      </w:divBdr>
    </w:div>
    <w:div w:id="1000811713">
      <w:bodyDiv w:val="1"/>
      <w:marLeft w:val="0"/>
      <w:marRight w:val="0"/>
      <w:marTop w:val="0"/>
      <w:marBottom w:val="0"/>
      <w:divBdr>
        <w:top w:val="none" w:sz="0" w:space="0" w:color="auto"/>
        <w:left w:val="none" w:sz="0" w:space="0" w:color="auto"/>
        <w:bottom w:val="none" w:sz="0" w:space="0" w:color="auto"/>
        <w:right w:val="none" w:sz="0" w:space="0" w:color="auto"/>
      </w:divBdr>
    </w:div>
    <w:div w:id="1033112027">
      <w:bodyDiv w:val="1"/>
      <w:marLeft w:val="0"/>
      <w:marRight w:val="0"/>
      <w:marTop w:val="0"/>
      <w:marBottom w:val="0"/>
      <w:divBdr>
        <w:top w:val="none" w:sz="0" w:space="0" w:color="auto"/>
        <w:left w:val="none" w:sz="0" w:space="0" w:color="auto"/>
        <w:bottom w:val="none" w:sz="0" w:space="0" w:color="auto"/>
        <w:right w:val="none" w:sz="0" w:space="0" w:color="auto"/>
      </w:divBdr>
    </w:div>
    <w:div w:id="1067339867">
      <w:bodyDiv w:val="1"/>
      <w:marLeft w:val="0"/>
      <w:marRight w:val="0"/>
      <w:marTop w:val="0"/>
      <w:marBottom w:val="0"/>
      <w:divBdr>
        <w:top w:val="none" w:sz="0" w:space="0" w:color="auto"/>
        <w:left w:val="none" w:sz="0" w:space="0" w:color="auto"/>
        <w:bottom w:val="none" w:sz="0" w:space="0" w:color="auto"/>
        <w:right w:val="none" w:sz="0" w:space="0" w:color="auto"/>
      </w:divBdr>
    </w:div>
    <w:div w:id="1069886833">
      <w:bodyDiv w:val="1"/>
      <w:marLeft w:val="0"/>
      <w:marRight w:val="0"/>
      <w:marTop w:val="0"/>
      <w:marBottom w:val="0"/>
      <w:divBdr>
        <w:top w:val="none" w:sz="0" w:space="0" w:color="auto"/>
        <w:left w:val="none" w:sz="0" w:space="0" w:color="auto"/>
        <w:bottom w:val="none" w:sz="0" w:space="0" w:color="auto"/>
        <w:right w:val="none" w:sz="0" w:space="0" w:color="auto"/>
      </w:divBdr>
    </w:div>
    <w:div w:id="1070347199">
      <w:bodyDiv w:val="1"/>
      <w:marLeft w:val="0"/>
      <w:marRight w:val="0"/>
      <w:marTop w:val="0"/>
      <w:marBottom w:val="0"/>
      <w:divBdr>
        <w:top w:val="none" w:sz="0" w:space="0" w:color="auto"/>
        <w:left w:val="none" w:sz="0" w:space="0" w:color="auto"/>
        <w:bottom w:val="none" w:sz="0" w:space="0" w:color="auto"/>
        <w:right w:val="none" w:sz="0" w:space="0" w:color="auto"/>
      </w:divBdr>
    </w:div>
    <w:div w:id="1082604135">
      <w:bodyDiv w:val="1"/>
      <w:marLeft w:val="0"/>
      <w:marRight w:val="0"/>
      <w:marTop w:val="0"/>
      <w:marBottom w:val="0"/>
      <w:divBdr>
        <w:top w:val="none" w:sz="0" w:space="0" w:color="auto"/>
        <w:left w:val="none" w:sz="0" w:space="0" w:color="auto"/>
        <w:bottom w:val="none" w:sz="0" w:space="0" w:color="auto"/>
        <w:right w:val="none" w:sz="0" w:space="0" w:color="auto"/>
      </w:divBdr>
    </w:div>
    <w:div w:id="1100833782">
      <w:bodyDiv w:val="1"/>
      <w:marLeft w:val="0"/>
      <w:marRight w:val="0"/>
      <w:marTop w:val="0"/>
      <w:marBottom w:val="0"/>
      <w:divBdr>
        <w:top w:val="none" w:sz="0" w:space="0" w:color="auto"/>
        <w:left w:val="none" w:sz="0" w:space="0" w:color="auto"/>
        <w:bottom w:val="none" w:sz="0" w:space="0" w:color="auto"/>
        <w:right w:val="none" w:sz="0" w:space="0" w:color="auto"/>
      </w:divBdr>
    </w:div>
    <w:div w:id="1105617852">
      <w:bodyDiv w:val="1"/>
      <w:marLeft w:val="0"/>
      <w:marRight w:val="0"/>
      <w:marTop w:val="0"/>
      <w:marBottom w:val="0"/>
      <w:divBdr>
        <w:top w:val="none" w:sz="0" w:space="0" w:color="auto"/>
        <w:left w:val="none" w:sz="0" w:space="0" w:color="auto"/>
        <w:bottom w:val="none" w:sz="0" w:space="0" w:color="auto"/>
        <w:right w:val="none" w:sz="0" w:space="0" w:color="auto"/>
      </w:divBdr>
    </w:div>
    <w:div w:id="1118184509">
      <w:bodyDiv w:val="1"/>
      <w:marLeft w:val="0"/>
      <w:marRight w:val="0"/>
      <w:marTop w:val="0"/>
      <w:marBottom w:val="0"/>
      <w:divBdr>
        <w:top w:val="none" w:sz="0" w:space="0" w:color="auto"/>
        <w:left w:val="none" w:sz="0" w:space="0" w:color="auto"/>
        <w:bottom w:val="none" w:sz="0" w:space="0" w:color="auto"/>
        <w:right w:val="none" w:sz="0" w:space="0" w:color="auto"/>
      </w:divBdr>
    </w:div>
    <w:div w:id="1128016136">
      <w:bodyDiv w:val="1"/>
      <w:marLeft w:val="0"/>
      <w:marRight w:val="0"/>
      <w:marTop w:val="0"/>
      <w:marBottom w:val="0"/>
      <w:divBdr>
        <w:top w:val="none" w:sz="0" w:space="0" w:color="auto"/>
        <w:left w:val="none" w:sz="0" w:space="0" w:color="auto"/>
        <w:bottom w:val="none" w:sz="0" w:space="0" w:color="auto"/>
        <w:right w:val="none" w:sz="0" w:space="0" w:color="auto"/>
      </w:divBdr>
    </w:div>
    <w:div w:id="1144926040">
      <w:bodyDiv w:val="1"/>
      <w:marLeft w:val="0"/>
      <w:marRight w:val="0"/>
      <w:marTop w:val="0"/>
      <w:marBottom w:val="0"/>
      <w:divBdr>
        <w:top w:val="none" w:sz="0" w:space="0" w:color="auto"/>
        <w:left w:val="none" w:sz="0" w:space="0" w:color="auto"/>
        <w:bottom w:val="none" w:sz="0" w:space="0" w:color="auto"/>
        <w:right w:val="none" w:sz="0" w:space="0" w:color="auto"/>
      </w:divBdr>
    </w:div>
    <w:div w:id="1174031020">
      <w:bodyDiv w:val="1"/>
      <w:marLeft w:val="0"/>
      <w:marRight w:val="0"/>
      <w:marTop w:val="0"/>
      <w:marBottom w:val="0"/>
      <w:divBdr>
        <w:top w:val="none" w:sz="0" w:space="0" w:color="auto"/>
        <w:left w:val="none" w:sz="0" w:space="0" w:color="auto"/>
        <w:bottom w:val="none" w:sz="0" w:space="0" w:color="auto"/>
        <w:right w:val="none" w:sz="0" w:space="0" w:color="auto"/>
      </w:divBdr>
    </w:div>
    <w:div w:id="1181624960">
      <w:bodyDiv w:val="1"/>
      <w:marLeft w:val="0"/>
      <w:marRight w:val="0"/>
      <w:marTop w:val="0"/>
      <w:marBottom w:val="0"/>
      <w:divBdr>
        <w:top w:val="none" w:sz="0" w:space="0" w:color="auto"/>
        <w:left w:val="none" w:sz="0" w:space="0" w:color="auto"/>
        <w:bottom w:val="none" w:sz="0" w:space="0" w:color="auto"/>
        <w:right w:val="none" w:sz="0" w:space="0" w:color="auto"/>
      </w:divBdr>
    </w:div>
    <w:div w:id="1182815286">
      <w:bodyDiv w:val="1"/>
      <w:marLeft w:val="0"/>
      <w:marRight w:val="0"/>
      <w:marTop w:val="0"/>
      <w:marBottom w:val="0"/>
      <w:divBdr>
        <w:top w:val="none" w:sz="0" w:space="0" w:color="auto"/>
        <w:left w:val="none" w:sz="0" w:space="0" w:color="auto"/>
        <w:bottom w:val="none" w:sz="0" w:space="0" w:color="auto"/>
        <w:right w:val="none" w:sz="0" w:space="0" w:color="auto"/>
      </w:divBdr>
    </w:div>
    <w:div w:id="1199125871">
      <w:bodyDiv w:val="1"/>
      <w:marLeft w:val="0"/>
      <w:marRight w:val="0"/>
      <w:marTop w:val="0"/>
      <w:marBottom w:val="0"/>
      <w:divBdr>
        <w:top w:val="none" w:sz="0" w:space="0" w:color="auto"/>
        <w:left w:val="none" w:sz="0" w:space="0" w:color="auto"/>
        <w:bottom w:val="none" w:sz="0" w:space="0" w:color="auto"/>
        <w:right w:val="none" w:sz="0" w:space="0" w:color="auto"/>
      </w:divBdr>
    </w:div>
    <w:div w:id="1201475388">
      <w:bodyDiv w:val="1"/>
      <w:marLeft w:val="0"/>
      <w:marRight w:val="0"/>
      <w:marTop w:val="0"/>
      <w:marBottom w:val="0"/>
      <w:divBdr>
        <w:top w:val="none" w:sz="0" w:space="0" w:color="auto"/>
        <w:left w:val="none" w:sz="0" w:space="0" w:color="auto"/>
        <w:bottom w:val="none" w:sz="0" w:space="0" w:color="auto"/>
        <w:right w:val="none" w:sz="0" w:space="0" w:color="auto"/>
      </w:divBdr>
    </w:div>
    <w:div w:id="1234853782">
      <w:bodyDiv w:val="1"/>
      <w:marLeft w:val="0"/>
      <w:marRight w:val="0"/>
      <w:marTop w:val="0"/>
      <w:marBottom w:val="0"/>
      <w:divBdr>
        <w:top w:val="none" w:sz="0" w:space="0" w:color="auto"/>
        <w:left w:val="none" w:sz="0" w:space="0" w:color="auto"/>
        <w:bottom w:val="none" w:sz="0" w:space="0" w:color="auto"/>
        <w:right w:val="none" w:sz="0" w:space="0" w:color="auto"/>
      </w:divBdr>
    </w:div>
    <w:div w:id="1256134218">
      <w:bodyDiv w:val="1"/>
      <w:marLeft w:val="0"/>
      <w:marRight w:val="0"/>
      <w:marTop w:val="0"/>
      <w:marBottom w:val="0"/>
      <w:divBdr>
        <w:top w:val="none" w:sz="0" w:space="0" w:color="auto"/>
        <w:left w:val="none" w:sz="0" w:space="0" w:color="auto"/>
        <w:bottom w:val="none" w:sz="0" w:space="0" w:color="auto"/>
        <w:right w:val="none" w:sz="0" w:space="0" w:color="auto"/>
      </w:divBdr>
    </w:div>
    <w:div w:id="1274479549">
      <w:bodyDiv w:val="1"/>
      <w:marLeft w:val="0"/>
      <w:marRight w:val="0"/>
      <w:marTop w:val="0"/>
      <w:marBottom w:val="0"/>
      <w:divBdr>
        <w:top w:val="none" w:sz="0" w:space="0" w:color="auto"/>
        <w:left w:val="none" w:sz="0" w:space="0" w:color="auto"/>
        <w:bottom w:val="none" w:sz="0" w:space="0" w:color="auto"/>
        <w:right w:val="none" w:sz="0" w:space="0" w:color="auto"/>
      </w:divBdr>
    </w:div>
    <w:div w:id="1277100077">
      <w:bodyDiv w:val="1"/>
      <w:marLeft w:val="0"/>
      <w:marRight w:val="0"/>
      <w:marTop w:val="0"/>
      <w:marBottom w:val="0"/>
      <w:divBdr>
        <w:top w:val="none" w:sz="0" w:space="0" w:color="auto"/>
        <w:left w:val="none" w:sz="0" w:space="0" w:color="auto"/>
        <w:bottom w:val="none" w:sz="0" w:space="0" w:color="auto"/>
        <w:right w:val="none" w:sz="0" w:space="0" w:color="auto"/>
      </w:divBdr>
    </w:div>
    <w:div w:id="1278564838">
      <w:bodyDiv w:val="1"/>
      <w:marLeft w:val="0"/>
      <w:marRight w:val="0"/>
      <w:marTop w:val="0"/>
      <w:marBottom w:val="0"/>
      <w:divBdr>
        <w:top w:val="none" w:sz="0" w:space="0" w:color="auto"/>
        <w:left w:val="none" w:sz="0" w:space="0" w:color="auto"/>
        <w:bottom w:val="none" w:sz="0" w:space="0" w:color="auto"/>
        <w:right w:val="none" w:sz="0" w:space="0" w:color="auto"/>
      </w:divBdr>
    </w:div>
    <w:div w:id="1280526588">
      <w:bodyDiv w:val="1"/>
      <w:marLeft w:val="0"/>
      <w:marRight w:val="0"/>
      <w:marTop w:val="0"/>
      <w:marBottom w:val="0"/>
      <w:divBdr>
        <w:top w:val="none" w:sz="0" w:space="0" w:color="auto"/>
        <w:left w:val="none" w:sz="0" w:space="0" w:color="auto"/>
        <w:bottom w:val="none" w:sz="0" w:space="0" w:color="auto"/>
        <w:right w:val="none" w:sz="0" w:space="0" w:color="auto"/>
      </w:divBdr>
    </w:div>
    <w:div w:id="1280718294">
      <w:bodyDiv w:val="1"/>
      <w:marLeft w:val="0"/>
      <w:marRight w:val="0"/>
      <w:marTop w:val="0"/>
      <w:marBottom w:val="0"/>
      <w:divBdr>
        <w:top w:val="none" w:sz="0" w:space="0" w:color="auto"/>
        <w:left w:val="none" w:sz="0" w:space="0" w:color="auto"/>
        <w:bottom w:val="none" w:sz="0" w:space="0" w:color="auto"/>
        <w:right w:val="none" w:sz="0" w:space="0" w:color="auto"/>
      </w:divBdr>
    </w:div>
    <w:div w:id="1281763494">
      <w:bodyDiv w:val="1"/>
      <w:marLeft w:val="0"/>
      <w:marRight w:val="0"/>
      <w:marTop w:val="0"/>
      <w:marBottom w:val="0"/>
      <w:divBdr>
        <w:top w:val="none" w:sz="0" w:space="0" w:color="auto"/>
        <w:left w:val="none" w:sz="0" w:space="0" w:color="auto"/>
        <w:bottom w:val="none" w:sz="0" w:space="0" w:color="auto"/>
        <w:right w:val="none" w:sz="0" w:space="0" w:color="auto"/>
      </w:divBdr>
    </w:div>
    <w:div w:id="1288926349">
      <w:bodyDiv w:val="1"/>
      <w:marLeft w:val="0"/>
      <w:marRight w:val="0"/>
      <w:marTop w:val="0"/>
      <w:marBottom w:val="0"/>
      <w:divBdr>
        <w:top w:val="none" w:sz="0" w:space="0" w:color="auto"/>
        <w:left w:val="none" w:sz="0" w:space="0" w:color="auto"/>
        <w:bottom w:val="none" w:sz="0" w:space="0" w:color="auto"/>
        <w:right w:val="none" w:sz="0" w:space="0" w:color="auto"/>
      </w:divBdr>
    </w:div>
    <w:div w:id="1311255082">
      <w:bodyDiv w:val="1"/>
      <w:marLeft w:val="0"/>
      <w:marRight w:val="0"/>
      <w:marTop w:val="0"/>
      <w:marBottom w:val="0"/>
      <w:divBdr>
        <w:top w:val="none" w:sz="0" w:space="0" w:color="auto"/>
        <w:left w:val="none" w:sz="0" w:space="0" w:color="auto"/>
        <w:bottom w:val="none" w:sz="0" w:space="0" w:color="auto"/>
        <w:right w:val="none" w:sz="0" w:space="0" w:color="auto"/>
      </w:divBdr>
    </w:div>
    <w:div w:id="1314604524">
      <w:bodyDiv w:val="1"/>
      <w:marLeft w:val="0"/>
      <w:marRight w:val="0"/>
      <w:marTop w:val="0"/>
      <w:marBottom w:val="0"/>
      <w:divBdr>
        <w:top w:val="none" w:sz="0" w:space="0" w:color="auto"/>
        <w:left w:val="none" w:sz="0" w:space="0" w:color="auto"/>
        <w:bottom w:val="none" w:sz="0" w:space="0" w:color="auto"/>
        <w:right w:val="none" w:sz="0" w:space="0" w:color="auto"/>
      </w:divBdr>
    </w:div>
    <w:div w:id="1318261750">
      <w:bodyDiv w:val="1"/>
      <w:marLeft w:val="0"/>
      <w:marRight w:val="0"/>
      <w:marTop w:val="0"/>
      <w:marBottom w:val="0"/>
      <w:divBdr>
        <w:top w:val="none" w:sz="0" w:space="0" w:color="auto"/>
        <w:left w:val="none" w:sz="0" w:space="0" w:color="auto"/>
        <w:bottom w:val="none" w:sz="0" w:space="0" w:color="auto"/>
        <w:right w:val="none" w:sz="0" w:space="0" w:color="auto"/>
      </w:divBdr>
    </w:div>
    <w:div w:id="1330210546">
      <w:bodyDiv w:val="1"/>
      <w:marLeft w:val="0"/>
      <w:marRight w:val="0"/>
      <w:marTop w:val="0"/>
      <w:marBottom w:val="0"/>
      <w:divBdr>
        <w:top w:val="none" w:sz="0" w:space="0" w:color="auto"/>
        <w:left w:val="none" w:sz="0" w:space="0" w:color="auto"/>
        <w:bottom w:val="none" w:sz="0" w:space="0" w:color="auto"/>
        <w:right w:val="none" w:sz="0" w:space="0" w:color="auto"/>
      </w:divBdr>
    </w:div>
    <w:div w:id="1330476321">
      <w:bodyDiv w:val="1"/>
      <w:marLeft w:val="0"/>
      <w:marRight w:val="0"/>
      <w:marTop w:val="0"/>
      <w:marBottom w:val="0"/>
      <w:divBdr>
        <w:top w:val="none" w:sz="0" w:space="0" w:color="auto"/>
        <w:left w:val="none" w:sz="0" w:space="0" w:color="auto"/>
        <w:bottom w:val="none" w:sz="0" w:space="0" w:color="auto"/>
        <w:right w:val="none" w:sz="0" w:space="0" w:color="auto"/>
      </w:divBdr>
    </w:div>
    <w:div w:id="1353066209">
      <w:bodyDiv w:val="1"/>
      <w:marLeft w:val="0"/>
      <w:marRight w:val="0"/>
      <w:marTop w:val="0"/>
      <w:marBottom w:val="0"/>
      <w:divBdr>
        <w:top w:val="none" w:sz="0" w:space="0" w:color="auto"/>
        <w:left w:val="none" w:sz="0" w:space="0" w:color="auto"/>
        <w:bottom w:val="none" w:sz="0" w:space="0" w:color="auto"/>
        <w:right w:val="none" w:sz="0" w:space="0" w:color="auto"/>
      </w:divBdr>
    </w:div>
    <w:div w:id="1362784321">
      <w:bodyDiv w:val="1"/>
      <w:marLeft w:val="0"/>
      <w:marRight w:val="0"/>
      <w:marTop w:val="0"/>
      <w:marBottom w:val="0"/>
      <w:divBdr>
        <w:top w:val="none" w:sz="0" w:space="0" w:color="auto"/>
        <w:left w:val="none" w:sz="0" w:space="0" w:color="auto"/>
        <w:bottom w:val="none" w:sz="0" w:space="0" w:color="auto"/>
        <w:right w:val="none" w:sz="0" w:space="0" w:color="auto"/>
      </w:divBdr>
    </w:div>
    <w:div w:id="1364018004">
      <w:bodyDiv w:val="1"/>
      <w:marLeft w:val="0"/>
      <w:marRight w:val="0"/>
      <w:marTop w:val="0"/>
      <w:marBottom w:val="0"/>
      <w:divBdr>
        <w:top w:val="none" w:sz="0" w:space="0" w:color="auto"/>
        <w:left w:val="none" w:sz="0" w:space="0" w:color="auto"/>
        <w:bottom w:val="none" w:sz="0" w:space="0" w:color="auto"/>
        <w:right w:val="none" w:sz="0" w:space="0" w:color="auto"/>
      </w:divBdr>
    </w:div>
    <w:div w:id="1397584513">
      <w:bodyDiv w:val="1"/>
      <w:marLeft w:val="0"/>
      <w:marRight w:val="0"/>
      <w:marTop w:val="0"/>
      <w:marBottom w:val="0"/>
      <w:divBdr>
        <w:top w:val="none" w:sz="0" w:space="0" w:color="auto"/>
        <w:left w:val="none" w:sz="0" w:space="0" w:color="auto"/>
        <w:bottom w:val="none" w:sz="0" w:space="0" w:color="auto"/>
        <w:right w:val="none" w:sz="0" w:space="0" w:color="auto"/>
      </w:divBdr>
    </w:div>
    <w:div w:id="1405182691">
      <w:bodyDiv w:val="1"/>
      <w:marLeft w:val="0"/>
      <w:marRight w:val="0"/>
      <w:marTop w:val="0"/>
      <w:marBottom w:val="0"/>
      <w:divBdr>
        <w:top w:val="none" w:sz="0" w:space="0" w:color="auto"/>
        <w:left w:val="none" w:sz="0" w:space="0" w:color="auto"/>
        <w:bottom w:val="none" w:sz="0" w:space="0" w:color="auto"/>
        <w:right w:val="none" w:sz="0" w:space="0" w:color="auto"/>
      </w:divBdr>
    </w:div>
    <w:div w:id="1418940257">
      <w:bodyDiv w:val="1"/>
      <w:marLeft w:val="0"/>
      <w:marRight w:val="0"/>
      <w:marTop w:val="0"/>
      <w:marBottom w:val="0"/>
      <w:divBdr>
        <w:top w:val="none" w:sz="0" w:space="0" w:color="auto"/>
        <w:left w:val="none" w:sz="0" w:space="0" w:color="auto"/>
        <w:bottom w:val="none" w:sz="0" w:space="0" w:color="auto"/>
        <w:right w:val="none" w:sz="0" w:space="0" w:color="auto"/>
      </w:divBdr>
    </w:div>
    <w:div w:id="1452744792">
      <w:bodyDiv w:val="1"/>
      <w:marLeft w:val="0"/>
      <w:marRight w:val="0"/>
      <w:marTop w:val="0"/>
      <w:marBottom w:val="0"/>
      <w:divBdr>
        <w:top w:val="none" w:sz="0" w:space="0" w:color="auto"/>
        <w:left w:val="none" w:sz="0" w:space="0" w:color="auto"/>
        <w:bottom w:val="none" w:sz="0" w:space="0" w:color="auto"/>
        <w:right w:val="none" w:sz="0" w:space="0" w:color="auto"/>
      </w:divBdr>
    </w:div>
    <w:div w:id="1465583501">
      <w:bodyDiv w:val="1"/>
      <w:marLeft w:val="0"/>
      <w:marRight w:val="0"/>
      <w:marTop w:val="0"/>
      <w:marBottom w:val="0"/>
      <w:divBdr>
        <w:top w:val="none" w:sz="0" w:space="0" w:color="auto"/>
        <w:left w:val="none" w:sz="0" w:space="0" w:color="auto"/>
        <w:bottom w:val="none" w:sz="0" w:space="0" w:color="auto"/>
        <w:right w:val="none" w:sz="0" w:space="0" w:color="auto"/>
      </w:divBdr>
    </w:div>
    <w:div w:id="1510753077">
      <w:bodyDiv w:val="1"/>
      <w:marLeft w:val="0"/>
      <w:marRight w:val="0"/>
      <w:marTop w:val="0"/>
      <w:marBottom w:val="0"/>
      <w:divBdr>
        <w:top w:val="none" w:sz="0" w:space="0" w:color="auto"/>
        <w:left w:val="none" w:sz="0" w:space="0" w:color="auto"/>
        <w:bottom w:val="none" w:sz="0" w:space="0" w:color="auto"/>
        <w:right w:val="none" w:sz="0" w:space="0" w:color="auto"/>
      </w:divBdr>
    </w:div>
    <w:div w:id="1521621212">
      <w:bodyDiv w:val="1"/>
      <w:marLeft w:val="0"/>
      <w:marRight w:val="0"/>
      <w:marTop w:val="0"/>
      <w:marBottom w:val="0"/>
      <w:divBdr>
        <w:top w:val="none" w:sz="0" w:space="0" w:color="auto"/>
        <w:left w:val="none" w:sz="0" w:space="0" w:color="auto"/>
        <w:bottom w:val="none" w:sz="0" w:space="0" w:color="auto"/>
        <w:right w:val="none" w:sz="0" w:space="0" w:color="auto"/>
      </w:divBdr>
    </w:div>
    <w:div w:id="1522158424">
      <w:bodyDiv w:val="1"/>
      <w:marLeft w:val="0"/>
      <w:marRight w:val="0"/>
      <w:marTop w:val="0"/>
      <w:marBottom w:val="0"/>
      <w:divBdr>
        <w:top w:val="none" w:sz="0" w:space="0" w:color="auto"/>
        <w:left w:val="none" w:sz="0" w:space="0" w:color="auto"/>
        <w:bottom w:val="none" w:sz="0" w:space="0" w:color="auto"/>
        <w:right w:val="none" w:sz="0" w:space="0" w:color="auto"/>
      </w:divBdr>
    </w:div>
    <w:div w:id="1544050881">
      <w:bodyDiv w:val="1"/>
      <w:marLeft w:val="0"/>
      <w:marRight w:val="0"/>
      <w:marTop w:val="0"/>
      <w:marBottom w:val="0"/>
      <w:divBdr>
        <w:top w:val="none" w:sz="0" w:space="0" w:color="auto"/>
        <w:left w:val="none" w:sz="0" w:space="0" w:color="auto"/>
        <w:bottom w:val="none" w:sz="0" w:space="0" w:color="auto"/>
        <w:right w:val="none" w:sz="0" w:space="0" w:color="auto"/>
      </w:divBdr>
    </w:div>
    <w:div w:id="1550528761">
      <w:bodyDiv w:val="1"/>
      <w:marLeft w:val="0"/>
      <w:marRight w:val="0"/>
      <w:marTop w:val="0"/>
      <w:marBottom w:val="0"/>
      <w:divBdr>
        <w:top w:val="none" w:sz="0" w:space="0" w:color="auto"/>
        <w:left w:val="none" w:sz="0" w:space="0" w:color="auto"/>
        <w:bottom w:val="none" w:sz="0" w:space="0" w:color="auto"/>
        <w:right w:val="none" w:sz="0" w:space="0" w:color="auto"/>
      </w:divBdr>
    </w:div>
    <w:div w:id="1552382087">
      <w:bodyDiv w:val="1"/>
      <w:marLeft w:val="0"/>
      <w:marRight w:val="0"/>
      <w:marTop w:val="0"/>
      <w:marBottom w:val="0"/>
      <w:divBdr>
        <w:top w:val="none" w:sz="0" w:space="0" w:color="auto"/>
        <w:left w:val="none" w:sz="0" w:space="0" w:color="auto"/>
        <w:bottom w:val="none" w:sz="0" w:space="0" w:color="auto"/>
        <w:right w:val="none" w:sz="0" w:space="0" w:color="auto"/>
      </w:divBdr>
    </w:div>
    <w:div w:id="1557550979">
      <w:bodyDiv w:val="1"/>
      <w:marLeft w:val="0"/>
      <w:marRight w:val="0"/>
      <w:marTop w:val="0"/>
      <w:marBottom w:val="0"/>
      <w:divBdr>
        <w:top w:val="none" w:sz="0" w:space="0" w:color="auto"/>
        <w:left w:val="none" w:sz="0" w:space="0" w:color="auto"/>
        <w:bottom w:val="none" w:sz="0" w:space="0" w:color="auto"/>
        <w:right w:val="none" w:sz="0" w:space="0" w:color="auto"/>
      </w:divBdr>
    </w:div>
    <w:div w:id="1563060034">
      <w:bodyDiv w:val="1"/>
      <w:marLeft w:val="0"/>
      <w:marRight w:val="0"/>
      <w:marTop w:val="0"/>
      <w:marBottom w:val="0"/>
      <w:divBdr>
        <w:top w:val="none" w:sz="0" w:space="0" w:color="auto"/>
        <w:left w:val="none" w:sz="0" w:space="0" w:color="auto"/>
        <w:bottom w:val="none" w:sz="0" w:space="0" w:color="auto"/>
        <w:right w:val="none" w:sz="0" w:space="0" w:color="auto"/>
      </w:divBdr>
    </w:div>
    <w:div w:id="1578441911">
      <w:bodyDiv w:val="1"/>
      <w:marLeft w:val="0"/>
      <w:marRight w:val="0"/>
      <w:marTop w:val="0"/>
      <w:marBottom w:val="0"/>
      <w:divBdr>
        <w:top w:val="none" w:sz="0" w:space="0" w:color="auto"/>
        <w:left w:val="none" w:sz="0" w:space="0" w:color="auto"/>
        <w:bottom w:val="none" w:sz="0" w:space="0" w:color="auto"/>
        <w:right w:val="none" w:sz="0" w:space="0" w:color="auto"/>
      </w:divBdr>
    </w:div>
    <w:div w:id="1584024211">
      <w:bodyDiv w:val="1"/>
      <w:marLeft w:val="0"/>
      <w:marRight w:val="0"/>
      <w:marTop w:val="0"/>
      <w:marBottom w:val="0"/>
      <w:divBdr>
        <w:top w:val="none" w:sz="0" w:space="0" w:color="auto"/>
        <w:left w:val="none" w:sz="0" w:space="0" w:color="auto"/>
        <w:bottom w:val="none" w:sz="0" w:space="0" w:color="auto"/>
        <w:right w:val="none" w:sz="0" w:space="0" w:color="auto"/>
      </w:divBdr>
    </w:div>
    <w:div w:id="1588615689">
      <w:bodyDiv w:val="1"/>
      <w:marLeft w:val="0"/>
      <w:marRight w:val="0"/>
      <w:marTop w:val="0"/>
      <w:marBottom w:val="0"/>
      <w:divBdr>
        <w:top w:val="none" w:sz="0" w:space="0" w:color="auto"/>
        <w:left w:val="none" w:sz="0" w:space="0" w:color="auto"/>
        <w:bottom w:val="none" w:sz="0" w:space="0" w:color="auto"/>
        <w:right w:val="none" w:sz="0" w:space="0" w:color="auto"/>
      </w:divBdr>
    </w:div>
    <w:div w:id="1602491016">
      <w:bodyDiv w:val="1"/>
      <w:marLeft w:val="0"/>
      <w:marRight w:val="0"/>
      <w:marTop w:val="0"/>
      <w:marBottom w:val="0"/>
      <w:divBdr>
        <w:top w:val="none" w:sz="0" w:space="0" w:color="auto"/>
        <w:left w:val="none" w:sz="0" w:space="0" w:color="auto"/>
        <w:bottom w:val="none" w:sz="0" w:space="0" w:color="auto"/>
        <w:right w:val="none" w:sz="0" w:space="0" w:color="auto"/>
      </w:divBdr>
    </w:div>
    <w:div w:id="1623223181">
      <w:bodyDiv w:val="1"/>
      <w:marLeft w:val="0"/>
      <w:marRight w:val="0"/>
      <w:marTop w:val="0"/>
      <w:marBottom w:val="0"/>
      <w:divBdr>
        <w:top w:val="none" w:sz="0" w:space="0" w:color="auto"/>
        <w:left w:val="none" w:sz="0" w:space="0" w:color="auto"/>
        <w:bottom w:val="none" w:sz="0" w:space="0" w:color="auto"/>
        <w:right w:val="none" w:sz="0" w:space="0" w:color="auto"/>
      </w:divBdr>
    </w:div>
    <w:div w:id="1629697428">
      <w:bodyDiv w:val="1"/>
      <w:marLeft w:val="0"/>
      <w:marRight w:val="0"/>
      <w:marTop w:val="0"/>
      <w:marBottom w:val="0"/>
      <w:divBdr>
        <w:top w:val="none" w:sz="0" w:space="0" w:color="auto"/>
        <w:left w:val="none" w:sz="0" w:space="0" w:color="auto"/>
        <w:bottom w:val="none" w:sz="0" w:space="0" w:color="auto"/>
        <w:right w:val="none" w:sz="0" w:space="0" w:color="auto"/>
      </w:divBdr>
    </w:div>
    <w:div w:id="1634362528">
      <w:bodyDiv w:val="1"/>
      <w:marLeft w:val="0"/>
      <w:marRight w:val="0"/>
      <w:marTop w:val="0"/>
      <w:marBottom w:val="0"/>
      <w:divBdr>
        <w:top w:val="none" w:sz="0" w:space="0" w:color="auto"/>
        <w:left w:val="none" w:sz="0" w:space="0" w:color="auto"/>
        <w:bottom w:val="none" w:sz="0" w:space="0" w:color="auto"/>
        <w:right w:val="none" w:sz="0" w:space="0" w:color="auto"/>
      </w:divBdr>
    </w:div>
    <w:div w:id="1652981659">
      <w:bodyDiv w:val="1"/>
      <w:marLeft w:val="0"/>
      <w:marRight w:val="0"/>
      <w:marTop w:val="0"/>
      <w:marBottom w:val="0"/>
      <w:divBdr>
        <w:top w:val="none" w:sz="0" w:space="0" w:color="auto"/>
        <w:left w:val="none" w:sz="0" w:space="0" w:color="auto"/>
        <w:bottom w:val="none" w:sz="0" w:space="0" w:color="auto"/>
        <w:right w:val="none" w:sz="0" w:space="0" w:color="auto"/>
      </w:divBdr>
    </w:div>
    <w:div w:id="1681424137">
      <w:bodyDiv w:val="1"/>
      <w:marLeft w:val="0"/>
      <w:marRight w:val="0"/>
      <w:marTop w:val="0"/>
      <w:marBottom w:val="0"/>
      <w:divBdr>
        <w:top w:val="none" w:sz="0" w:space="0" w:color="auto"/>
        <w:left w:val="none" w:sz="0" w:space="0" w:color="auto"/>
        <w:bottom w:val="none" w:sz="0" w:space="0" w:color="auto"/>
        <w:right w:val="none" w:sz="0" w:space="0" w:color="auto"/>
      </w:divBdr>
    </w:div>
    <w:div w:id="1717389659">
      <w:bodyDiv w:val="1"/>
      <w:marLeft w:val="0"/>
      <w:marRight w:val="0"/>
      <w:marTop w:val="0"/>
      <w:marBottom w:val="0"/>
      <w:divBdr>
        <w:top w:val="none" w:sz="0" w:space="0" w:color="auto"/>
        <w:left w:val="none" w:sz="0" w:space="0" w:color="auto"/>
        <w:bottom w:val="none" w:sz="0" w:space="0" w:color="auto"/>
        <w:right w:val="none" w:sz="0" w:space="0" w:color="auto"/>
      </w:divBdr>
    </w:div>
    <w:div w:id="1719041754">
      <w:bodyDiv w:val="1"/>
      <w:marLeft w:val="0"/>
      <w:marRight w:val="0"/>
      <w:marTop w:val="0"/>
      <w:marBottom w:val="0"/>
      <w:divBdr>
        <w:top w:val="none" w:sz="0" w:space="0" w:color="auto"/>
        <w:left w:val="none" w:sz="0" w:space="0" w:color="auto"/>
        <w:bottom w:val="none" w:sz="0" w:space="0" w:color="auto"/>
        <w:right w:val="none" w:sz="0" w:space="0" w:color="auto"/>
      </w:divBdr>
    </w:div>
    <w:div w:id="1721594381">
      <w:bodyDiv w:val="1"/>
      <w:marLeft w:val="0"/>
      <w:marRight w:val="0"/>
      <w:marTop w:val="0"/>
      <w:marBottom w:val="0"/>
      <w:divBdr>
        <w:top w:val="none" w:sz="0" w:space="0" w:color="auto"/>
        <w:left w:val="none" w:sz="0" w:space="0" w:color="auto"/>
        <w:bottom w:val="none" w:sz="0" w:space="0" w:color="auto"/>
        <w:right w:val="none" w:sz="0" w:space="0" w:color="auto"/>
      </w:divBdr>
    </w:div>
    <w:div w:id="1729107979">
      <w:bodyDiv w:val="1"/>
      <w:marLeft w:val="0"/>
      <w:marRight w:val="0"/>
      <w:marTop w:val="0"/>
      <w:marBottom w:val="0"/>
      <w:divBdr>
        <w:top w:val="none" w:sz="0" w:space="0" w:color="auto"/>
        <w:left w:val="none" w:sz="0" w:space="0" w:color="auto"/>
        <w:bottom w:val="none" w:sz="0" w:space="0" w:color="auto"/>
        <w:right w:val="none" w:sz="0" w:space="0" w:color="auto"/>
      </w:divBdr>
    </w:div>
    <w:div w:id="1731420490">
      <w:bodyDiv w:val="1"/>
      <w:marLeft w:val="0"/>
      <w:marRight w:val="0"/>
      <w:marTop w:val="0"/>
      <w:marBottom w:val="0"/>
      <w:divBdr>
        <w:top w:val="none" w:sz="0" w:space="0" w:color="auto"/>
        <w:left w:val="none" w:sz="0" w:space="0" w:color="auto"/>
        <w:bottom w:val="none" w:sz="0" w:space="0" w:color="auto"/>
        <w:right w:val="none" w:sz="0" w:space="0" w:color="auto"/>
      </w:divBdr>
    </w:div>
    <w:div w:id="1735617038">
      <w:bodyDiv w:val="1"/>
      <w:marLeft w:val="0"/>
      <w:marRight w:val="0"/>
      <w:marTop w:val="0"/>
      <w:marBottom w:val="0"/>
      <w:divBdr>
        <w:top w:val="none" w:sz="0" w:space="0" w:color="auto"/>
        <w:left w:val="none" w:sz="0" w:space="0" w:color="auto"/>
        <w:bottom w:val="none" w:sz="0" w:space="0" w:color="auto"/>
        <w:right w:val="none" w:sz="0" w:space="0" w:color="auto"/>
      </w:divBdr>
    </w:div>
    <w:div w:id="1761680508">
      <w:bodyDiv w:val="1"/>
      <w:marLeft w:val="0"/>
      <w:marRight w:val="0"/>
      <w:marTop w:val="0"/>
      <w:marBottom w:val="0"/>
      <w:divBdr>
        <w:top w:val="none" w:sz="0" w:space="0" w:color="auto"/>
        <w:left w:val="none" w:sz="0" w:space="0" w:color="auto"/>
        <w:bottom w:val="none" w:sz="0" w:space="0" w:color="auto"/>
        <w:right w:val="none" w:sz="0" w:space="0" w:color="auto"/>
      </w:divBdr>
    </w:div>
    <w:div w:id="1824351179">
      <w:bodyDiv w:val="1"/>
      <w:marLeft w:val="0"/>
      <w:marRight w:val="0"/>
      <w:marTop w:val="0"/>
      <w:marBottom w:val="0"/>
      <w:divBdr>
        <w:top w:val="none" w:sz="0" w:space="0" w:color="auto"/>
        <w:left w:val="none" w:sz="0" w:space="0" w:color="auto"/>
        <w:bottom w:val="none" w:sz="0" w:space="0" w:color="auto"/>
        <w:right w:val="none" w:sz="0" w:space="0" w:color="auto"/>
      </w:divBdr>
    </w:div>
    <w:div w:id="1862281419">
      <w:bodyDiv w:val="1"/>
      <w:marLeft w:val="0"/>
      <w:marRight w:val="0"/>
      <w:marTop w:val="0"/>
      <w:marBottom w:val="0"/>
      <w:divBdr>
        <w:top w:val="none" w:sz="0" w:space="0" w:color="auto"/>
        <w:left w:val="none" w:sz="0" w:space="0" w:color="auto"/>
        <w:bottom w:val="none" w:sz="0" w:space="0" w:color="auto"/>
        <w:right w:val="none" w:sz="0" w:space="0" w:color="auto"/>
      </w:divBdr>
    </w:div>
    <w:div w:id="1869487212">
      <w:bodyDiv w:val="1"/>
      <w:marLeft w:val="0"/>
      <w:marRight w:val="0"/>
      <w:marTop w:val="0"/>
      <w:marBottom w:val="0"/>
      <w:divBdr>
        <w:top w:val="none" w:sz="0" w:space="0" w:color="auto"/>
        <w:left w:val="none" w:sz="0" w:space="0" w:color="auto"/>
        <w:bottom w:val="none" w:sz="0" w:space="0" w:color="auto"/>
        <w:right w:val="none" w:sz="0" w:space="0" w:color="auto"/>
      </w:divBdr>
    </w:div>
    <w:div w:id="1871649280">
      <w:bodyDiv w:val="1"/>
      <w:marLeft w:val="0"/>
      <w:marRight w:val="0"/>
      <w:marTop w:val="0"/>
      <w:marBottom w:val="0"/>
      <w:divBdr>
        <w:top w:val="none" w:sz="0" w:space="0" w:color="auto"/>
        <w:left w:val="none" w:sz="0" w:space="0" w:color="auto"/>
        <w:bottom w:val="none" w:sz="0" w:space="0" w:color="auto"/>
        <w:right w:val="none" w:sz="0" w:space="0" w:color="auto"/>
      </w:divBdr>
    </w:div>
    <w:div w:id="1871914999">
      <w:bodyDiv w:val="1"/>
      <w:marLeft w:val="0"/>
      <w:marRight w:val="0"/>
      <w:marTop w:val="0"/>
      <w:marBottom w:val="0"/>
      <w:divBdr>
        <w:top w:val="none" w:sz="0" w:space="0" w:color="auto"/>
        <w:left w:val="none" w:sz="0" w:space="0" w:color="auto"/>
        <w:bottom w:val="none" w:sz="0" w:space="0" w:color="auto"/>
        <w:right w:val="none" w:sz="0" w:space="0" w:color="auto"/>
      </w:divBdr>
    </w:div>
    <w:div w:id="1913270573">
      <w:bodyDiv w:val="1"/>
      <w:marLeft w:val="0"/>
      <w:marRight w:val="0"/>
      <w:marTop w:val="0"/>
      <w:marBottom w:val="0"/>
      <w:divBdr>
        <w:top w:val="none" w:sz="0" w:space="0" w:color="auto"/>
        <w:left w:val="none" w:sz="0" w:space="0" w:color="auto"/>
        <w:bottom w:val="none" w:sz="0" w:space="0" w:color="auto"/>
        <w:right w:val="none" w:sz="0" w:space="0" w:color="auto"/>
      </w:divBdr>
    </w:div>
    <w:div w:id="1951547073">
      <w:bodyDiv w:val="1"/>
      <w:marLeft w:val="0"/>
      <w:marRight w:val="0"/>
      <w:marTop w:val="0"/>
      <w:marBottom w:val="0"/>
      <w:divBdr>
        <w:top w:val="none" w:sz="0" w:space="0" w:color="auto"/>
        <w:left w:val="none" w:sz="0" w:space="0" w:color="auto"/>
        <w:bottom w:val="none" w:sz="0" w:space="0" w:color="auto"/>
        <w:right w:val="none" w:sz="0" w:space="0" w:color="auto"/>
      </w:divBdr>
    </w:div>
    <w:div w:id="1989360872">
      <w:bodyDiv w:val="1"/>
      <w:marLeft w:val="0"/>
      <w:marRight w:val="0"/>
      <w:marTop w:val="0"/>
      <w:marBottom w:val="0"/>
      <w:divBdr>
        <w:top w:val="none" w:sz="0" w:space="0" w:color="auto"/>
        <w:left w:val="none" w:sz="0" w:space="0" w:color="auto"/>
        <w:bottom w:val="none" w:sz="0" w:space="0" w:color="auto"/>
        <w:right w:val="none" w:sz="0" w:space="0" w:color="auto"/>
      </w:divBdr>
    </w:div>
    <w:div w:id="1997763275">
      <w:bodyDiv w:val="1"/>
      <w:marLeft w:val="0"/>
      <w:marRight w:val="0"/>
      <w:marTop w:val="0"/>
      <w:marBottom w:val="0"/>
      <w:divBdr>
        <w:top w:val="none" w:sz="0" w:space="0" w:color="auto"/>
        <w:left w:val="none" w:sz="0" w:space="0" w:color="auto"/>
        <w:bottom w:val="none" w:sz="0" w:space="0" w:color="auto"/>
        <w:right w:val="none" w:sz="0" w:space="0" w:color="auto"/>
      </w:divBdr>
    </w:div>
    <w:div w:id="2000690171">
      <w:bodyDiv w:val="1"/>
      <w:marLeft w:val="0"/>
      <w:marRight w:val="0"/>
      <w:marTop w:val="0"/>
      <w:marBottom w:val="0"/>
      <w:divBdr>
        <w:top w:val="none" w:sz="0" w:space="0" w:color="auto"/>
        <w:left w:val="none" w:sz="0" w:space="0" w:color="auto"/>
        <w:bottom w:val="none" w:sz="0" w:space="0" w:color="auto"/>
        <w:right w:val="none" w:sz="0" w:space="0" w:color="auto"/>
      </w:divBdr>
    </w:div>
    <w:div w:id="2002419583">
      <w:bodyDiv w:val="1"/>
      <w:marLeft w:val="0"/>
      <w:marRight w:val="0"/>
      <w:marTop w:val="0"/>
      <w:marBottom w:val="0"/>
      <w:divBdr>
        <w:top w:val="none" w:sz="0" w:space="0" w:color="auto"/>
        <w:left w:val="none" w:sz="0" w:space="0" w:color="auto"/>
        <w:bottom w:val="none" w:sz="0" w:space="0" w:color="auto"/>
        <w:right w:val="none" w:sz="0" w:space="0" w:color="auto"/>
      </w:divBdr>
    </w:div>
    <w:div w:id="2041976929">
      <w:bodyDiv w:val="1"/>
      <w:marLeft w:val="0"/>
      <w:marRight w:val="0"/>
      <w:marTop w:val="0"/>
      <w:marBottom w:val="0"/>
      <w:divBdr>
        <w:top w:val="none" w:sz="0" w:space="0" w:color="auto"/>
        <w:left w:val="none" w:sz="0" w:space="0" w:color="auto"/>
        <w:bottom w:val="none" w:sz="0" w:space="0" w:color="auto"/>
        <w:right w:val="none" w:sz="0" w:space="0" w:color="auto"/>
      </w:divBdr>
    </w:div>
    <w:div w:id="2086025472">
      <w:bodyDiv w:val="1"/>
      <w:marLeft w:val="0"/>
      <w:marRight w:val="0"/>
      <w:marTop w:val="0"/>
      <w:marBottom w:val="0"/>
      <w:divBdr>
        <w:top w:val="none" w:sz="0" w:space="0" w:color="auto"/>
        <w:left w:val="none" w:sz="0" w:space="0" w:color="auto"/>
        <w:bottom w:val="none" w:sz="0" w:space="0" w:color="auto"/>
        <w:right w:val="none" w:sz="0" w:space="0" w:color="auto"/>
      </w:divBdr>
    </w:div>
    <w:div w:id="21334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6/romano-limitaciones/romano-limitaciones.shtml"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Hoja_de_c_lculo_de_Microsoft_Excel_97-200316.xls"/><Relationship Id="rId21" Type="http://schemas.openxmlformats.org/officeDocument/2006/relationships/oleObject" Target="embeddings/Hoja_de_c_lculo_de_Microsoft_Excel_97-20037.xls"/><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Hoja_de_c_lculo_de_Microsoft_Excel_97-200320.xls"/><Relationship Id="rId50" Type="http://schemas.openxmlformats.org/officeDocument/2006/relationships/image" Target="media/image22.emf"/><Relationship Id="rId55" Type="http://schemas.openxmlformats.org/officeDocument/2006/relationships/oleObject" Target="embeddings/Hoja_de_c_lculo_de_Microsoft_Excel_97-200324.xls"/><Relationship Id="rId7" Type="http://schemas.openxmlformats.org/officeDocument/2006/relationships/oleObject" Target="embeddings/Hoja_de_c_lculo_de_Microsoft_Excel_97-20031.xls"/><Relationship Id="rId12" Type="http://schemas.openxmlformats.org/officeDocument/2006/relationships/hyperlink" Target="http://www.monografias.com/trabajos5/elciclo/elciclo.shtml" TargetMode="External"/><Relationship Id="rId17" Type="http://schemas.openxmlformats.org/officeDocument/2006/relationships/oleObject" Target="embeddings/Hoja_de_c_lculo_de_Microsoft_Excel_97-20035.xls"/><Relationship Id="rId25" Type="http://schemas.openxmlformats.org/officeDocument/2006/relationships/oleObject" Target="embeddings/Hoja_de_c_lculo_de_Microsoft_Excel_97-20039.xls"/><Relationship Id="rId33" Type="http://schemas.openxmlformats.org/officeDocument/2006/relationships/oleObject" Target="embeddings/Hoja_de_c_lculo_de_Microsoft_Excel_97-200313.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11.xls"/><Relationship Id="rId41" Type="http://schemas.openxmlformats.org/officeDocument/2006/relationships/oleObject" Target="embeddings/Hoja_de_c_lculo_de_Microsoft_Excel_97-200317.xls"/><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Hoja_de_c_lculo_de_Microsoft_Excel_97-20033.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Hoja_de_c_lculo_de_Microsoft_Excel_97-200315.xls"/><Relationship Id="rId40" Type="http://schemas.openxmlformats.org/officeDocument/2006/relationships/image" Target="media/image17.emf"/><Relationship Id="rId45" Type="http://schemas.openxmlformats.org/officeDocument/2006/relationships/oleObject" Target="embeddings/Hoja_de_c_lculo_de_Microsoft_Excel_97-200319.xls"/><Relationship Id="rId53" Type="http://schemas.openxmlformats.org/officeDocument/2006/relationships/oleObject" Target="embeddings/Hoja_de_c_lculo_de_Microsoft_Excel_97-200323.xls"/><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Hoja_de_c_lculo_de_Microsoft_Excel_97-20034.xls"/><Relationship Id="rId23" Type="http://schemas.openxmlformats.org/officeDocument/2006/relationships/oleObject" Target="embeddings/Hoja_de_c_lculo_de_Microsoft_Excel_97-20038.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Hoja_de_c_lculo_de_Microsoft_Excel_97-200321.xls"/><Relationship Id="rId57" Type="http://schemas.openxmlformats.org/officeDocument/2006/relationships/oleObject" Target="embeddings/Hoja_de_c_lculo_de_Microsoft_Excel_97-200325.xls"/><Relationship Id="rId10" Type="http://schemas.openxmlformats.org/officeDocument/2006/relationships/image" Target="media/image3.emf"/><Relationship Id="rId19" Type="http://schemas.openxmlformats.org/officeDocument/2006/relationships/oleObject" Target="embeddings/Hoja_de_c_lculo_de_Microsoft_Excel_97-20036.xls"/><Relationship Id="rId31" Type="http://schemas.openxmlformats.org/officeDocument/2006/relationships/oleObject" Target="embeddings/Hoja_de_c_lculo_de_Microsoft_Excel_97-200312.xls"/><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Hoja_de_c_lculo_de_Microsoft_Excel_97-20032.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10.xls"/><Relationship Id="rId30" Type="http://schemas.openxmlformats.org/officeDocument/2006/relationships/image" Target="media/image12.emf"/><Relationship Id="rId35" Type="http://schemas.openxmlformats.org/officeDocument/2006/relationships/oleObject" Target="embeddings/Hoja_de_c_lculo_de_Microsoft_Excel_97-200314.xls"/><Relationship Id="rId43" Type="http://schemas.openxmlformats.org/officeDocument/2006/relationships/oleObject" Target="embeddings/Hoja_de_c_lculo_de_Microsoft_Excel_97-200318.xls"/><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2.emf"/><Relationship Id="rId51" Type="http://schemas.openxmlformats.org/officeDocument/2006/relationships/oleObject" Target="embeddings/Hoja_de_c_lculo_de_Microsoft_Excel_97-200322.xls"/><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AA475-7A35-4EDB-BAFD-7609E396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19</Pages>
  <Words>5167</Words>
  <Characters>28423</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UNA1</dc:creator>
  <cp:lastModifiedBy>Vera Aguero Valverde</cp:lastModifiedBy>
  <cp:revision>11</cp:revision>
  <cp:lastPrinted>2019-01-17T21:05:00Z</cp:lastPrinted>
  <dcterms:created xsi:type="dcterms:W3CDTF">2019-02-13T19:52:00Z</dcterms:created>
  <dcterms:modified xsi:type="dcterms:W3CDTF">2019-02-13T21:28:00Z</dcterms:modified>
</cp:coreProperties>
</file>