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D9" w:rsidRPr="00E475D9" w:rsidRDefault="00E475D9" w:rsidP="00E475D9">
      <w:pPr>
        <w:spacing w:after="0"/>
        <w:jc w:val="center"/>
        <w:rPr>
          <w:rFonts w:cs="Calibri"/>
          <w:sz w:val="44"/>
          <w:szCs w:val="44"/>
        </w:rPr>
      </w:pPr>
      <w:r w:rsidRPr="00E475D9">
        <w:rPr>
          <w:rFonts w:cs="Calibri"/>
          <w:noProof/>
          <w:sz w:val="44"/>
          <w:szCs w:val="44"/>
        </w:rPr>
        <w:t>UNIVERSIDAD NACIONAL</w:t>
      </w:r>
    </w:p>
    <w:p w:rsidR="00E475D9" w:rsidRPr="00E475D9" w:rsidRDefault="00E475D9" w:rsidP="00E475D9">
      <w:pPr>
        <w:spacing w:after="0"/>
        <w:jc w:val="both"/>
        <w:rPr>
          <w:rFonts w:cs="Calibri"/>
        </w:rPr>
      </w:pPr>
    </w:p>
    <w:p w:rsidR="00E475D9" w:rsidRPr="00E475D9" w:rsidRDefault="00E475D9" w:rsidP="00E475D9">
      <w:pPr>
        <w:spacing w:after="0"/>
        <w:jc w:val="both"/>
        <w:rPr>
          <w:rFonts w:cs="Calibri"/>
        </w:rPr>
      </w:pPr>
    </w:p>
    <w:p w:rsidR="00E475D9" w:rsidRPr="00E475D9" w:rsidRDefault="00E475D9" w:rsidP="00E475D9">
      <w:pPr>
        <w:spacing w:after="0"/>
        <w:jc w:val="both"/>
        <w:rPr>
          <w:rFonts w:cs="Calibri"/>
        </w:rPr>
      </w:pPr>
    </w:p>
    <w:p w:rsidR="00E475D9" w:rsidRPr="00E475D9" w:rsidRDefault="00E475D9" w:rsidP="00E475D9">
      <w:pPr>
        <w:spacing w:after="0"/>
        <w:jc w:val="both"/>
        <w:rPr>
          <w:rFonts w:cs="Calibri"/>
        </w:rPr>
      </w:pPr>
    </w:p>
    <w:p w:rsidR="00E475D9" w:rsidRPr="00E475D9" w:rsidRDefault="00E475D9" w:rsidP="00E475D9">
      <w:pPr>
        <w:spacing w:after="0"/>
        <w:jc w:val="both"/>
        <w:rPr>
          <w:rFonts w:cs="Calibri"/>
        </w:rPr>
      </w:pPr>
    </w:p>
    <w:p w:rsidR="00E475D9" w:rsidRPr="00E475D9" w:rsidRDefault="00E475D9" w:rsidP="003F60F8">
      <w:pPr>
        <w:spacing w:after="0"/>
        <w:ind w:left="360"/>
        <w:rPr>
          <w:rFonts w:ascii="Monotype Corsiva" w:hAnsi="Monotype Corsiva" w:cs="Calibri"/>
          <w:b/>
          <w:sz w:val="96"/>
          <w:szCs w:val="96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jc w:val="center"/>
        <w:rPr>
          <w:rFonts w:cs="Calibri"/>
          <w:b/>
          <w:sz w:val="56"/>
          <w:szCs w:val="56"/>
        </w:rPr>
      </w:pPr>
      <w:r w:rsidRPr="00E475D9">
        <w:rPr>
          <w:rFonts w:cs="Calibri"/>
          <w:b/>
          <w:sz w:val="56"/>
          <w:szCs w:val="56"/>
        </w:rPr>
        <w:t>ANÁLISIS FINANCIERO</w:t>
      </w:r>
    </w:p>
    <w:p w:rsidR="00E475D9" w:rsidRDefault="004E1C06" w:rsidP="00E475D9">
      <w:pPr>
        <w:spacing w:after="0"/>
        <w:jc w:val="center"/>
        <w:rPr>
          <w:rFonts w:cs="Calibri"/>
          <w:b/>
          <w:sz w:val="56"/>
          <w:szCs w:val="56"/>
        </w:rPr>
      </w:pPr>
      <w:r>
        <w:rPr>
          <w:rFonts w:cs="Calibri"/>
          <w:b/>
          <w:sz w:val="56"/>
          <w:szCs w:val="56"/>
        </w:rPr>
        <w:t>Marzo</w:t>
      </w:r>
      <w:r w:rsidR="00841AB0">
        <w:rPr>
          <w:rFonts w:cs="Calibri"/>
          <w:b/>
          <w:sz w:val="56"/>
          <w:szCs w:val="56"/>
        </w:rPr>
        <w:t xml:space="preserve"> </w:t>
      </w:r>
      <w:r w:rsidR="00E1341E">
        <w:rPr>
          <w:rFonts w:cs="Calibri"/>
          <w:b/>
          <w:sz w:val="56"/>
          <w:szCs w:val="56"/>
        </w:rPr>
        <w:t>201</w:t>
      </w:r>
      <w:r>
        <w:rPr>
          <w:rFonts w:cs="Calibri"/>
          <w:b/>
          <w:sz w:val="56"/>
          <w:szCs w:val="56"/>
        </w:rPr>
        <w:t>9</w:t>
      </w:r>
    </w:p>
    <w:p w:rsidR="004E1C06" w:rsidRDefault="004E1C06" w:rsidP="00E475D9">
      <w:pPr>
        <w:spacing w:after="0"/>
        <w:jc w:val="center"/>
        <w:rPr>
          <w:rFonts w:cs="Calibri"/>
          <w:b/>
          <w:sz w:val="56"/>
          <w:szCs w:val="56"/>
        </w:rPr>
      </w:pPr>
    </w:p>
    <w:p w:rsidR="0078161D" w:rsidRPr="00E475D9" w:rsidRDefault="0078161D" w:rsidP="00E475D9">
      <w:pPr>
        <w:spacing w:after="0"/>
        <w:jc w:val="center"/>
        <w:rPr>
          <w:rFonts w:cs="Calibri"/>
          <w:b/>
          <w:sz w:val="56"/>
          <w:szCs w:val="56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506A71" w:rsidRPr="00E475D9" w:rsidRDefault="00506A71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E475D9" w:rsidRDefault="00E475D9" w:rsidP="00E475D9">
      <w:pPr>
        <w:spacing w:after="0"/>
        <w:rPr>
          <w:rFonts w:cs="Calibri"/>
          <w:b/>
          <w:sz w:val="24"/>
          <w:szCs w:val="24"/>
          <w:lang w:val="es-MX"/>
        </w:rPr>
      </w:pPr>
    </w:p>
    <w:p w:rsidR="00E475D9" w:rsidRPr="0090264B" w:rsidRDefault="00E475D9" w:rsidP="00E475D9">
      <w:pPr>
        <w:spacing w:after="0"/>
        <w:rPr>
          <w:rFonts w:cs="Calibri"/>
          <w:lang w:val="es-MX"/>
        </w:rPr>
      </w:pPr>
      <w:r w:rsidRPr="0090264B">
        <w:rPr>
          <w:rFonts w:cs="Calibri"/>
          <w:lang w:val="es-MX"/>
        </w:rPr>
        <w:t xml:space="preserve">II. ANÁLISIS FINANCIERO  (Cifras en </w:t>
      </w:r>
      <w:r w:rsidR="00135C6E">
        <w:rPr>
          <w:rFonts w:cs="Calibri"/>
          <w:lang w:val="es-MX"/>
        </w:rPr>
        <w:t>miles</w:t>
      </w:r>
      <w:r w:rsidRPr="0090264B">
        <w:rPr>
          <w:rFonts w:cs="Calibri"/>
          <w:lang w:val="es-MX"/>
        </w:rPr>
        <w:t xml:space="preserve"> de colones, porcentajes y número de veces)</w:t>
      </w:r>
    </w:p>
    <w:p w:rsidR="00E475D9" w:rsidRPr="00CF6B79" w:rsidRDefault="00E475D9" w:rsidP="00E475D9">
      <w:pPr>
        <w:spacing w:after="0"/>
        <w:rPr>
          <w:rFonts w:cs="Calibri"/>
          <w:lang w:val="es-MX"/>
        </w:rPr>
      </w:pPr>
    </w:p>
    <w:p w:rsidR="00E475D9" w:rsidRPr="0090264B" w:rsidRDefault="00E475D9" w:rsidP="00E475D9">
      <w:pPr>
        <w:spacing w:after="0"/>
        <w:rPr>
          <w:rFonts w:cs="Calibri"/>
          <w:lang w:val="es-MX"/>
        </w:rPr>
      </w:pPr>
      <w:r w:rsidRPr="0090264B">
        <w:rPr>
          <w:rFonts w:cs="Calibri"/>
          <w:lang w:val="es-MX"/>
        </w:rPr>
        <w:t>II.1 Análisis de Razones Financieras.</w:t>
      </w:r>
    </w:p>
    <w:p w:rsidR="0044116D" w:rsidRDefault="00E475D9" w:rsidP="00135C6E">
      <w:pPr>
        <w:spacing w:after="0"/>
        <w:rPr>
          <w:rFonts w:cs="Calibri"/>
          <w:lang w:val="es-MX"/>
        </w:rPr>
      </w:pPr>
      <w:r w:rsidRPr="00CF6B79">
        <w:rPr>
          <w:rFonts w:cs="Calibri"/>
          <w:lang w:val="es-MX"/>
        </w:rPr>
        <w:t xml:space="preserve">En este apartado se muestra el análisis financiero </w:t>
      </w:r>
      <w:r w:rsidR="0052626F">
        <w:rPr>
          <w:rFonts w:cs="Calibri"/>
          <w:lang w:val="es-MX"/>
        </w:rPr>
        <w:t>a</w:t>
      </w:r>
      <w:r w:rsidR="00937728">
        <w:rPr>
          <w:rFonts w:cs="Calibri"/>
          <w:lang w:val="es-MX"/>
        </w:rPr>
        <w:t xml:space="preserve">  </w:t>
      </w:r>
      <w:r w:rsidR="00661F87">
        <w:rPr>
          <w:rFonts w:cs="Calibri"/>
          <w:lang w:val="es-MX"/>
        </w:rPr>
        <w:t>marzo 2019</w:t>
      </w:r>
      <w:r w:rsidR="00937728">
        <w:rPr>
          <w:rFonts w:cs="Calibri"/>
          <w:lang w:val="es-MX"/>
        </w:rPr>
        <w:t xml:space="preserve"> y </w:t>
      </w:r>
      <w:r w:rsidR="0052626F">
        <w:rPr>
          <w:rFonts w:cs="Calibri"/>
          <w:lang w:val="es-MX"/>
        </w:rPr>
        <w:t xml:space="preserve"> </w:t>
      </w:r>
      <w:r w:rsidR="00661F87">
        <w:rPr>
          <w:rFonts w:cs="Calibri"/>
          <w:lang w:val="es-MX"/>
        </w:rPr>
        <w:t>diciembre 2018</w:t>
      </w:r>
      <w:r w:rsidR="009C4913">
        <w:rPr>
          <w:rFonts w:cs="Calibri"/>
          <w:lang w:val="es-MX"/>
        </w:rPr>
        <w:t>,</w:t>
      </w:r>
      <w:r w:rsidR="00DB5B08">
        <w:rPr>
          <w:rFonts w:cs="Calibri"/>
          <w:lang w:val="es-MX"/>
        </w:rPr>
        <w:t xml:space="preserve"> para las razones que se obtienen </w:t>
      </w:r>
      <w:r w:rsidR="009C4913">
        <w:rPr>
          <w:rFonts w:cs="Calibri"/>
          <w:lang w:val="es-MX"/>
        </w:rPr>
        <w:t xml:space="preserve">del </w:t>
      </w:r>
      <w:r w:rsidR="00102E49">
        <w:rPr>
          <w:rFonts w:cs="Calibri"/>
          <w:lang w:val="es-MX"/>
        </w:rPr>
        <w:t>B</w:t>
      </w:r>
      <w:r w:rsidR="009C4913">
        <w:rPr>
          <w:rFonts w:cs="Calibri"/>
          <w:lang w:val="es-MX"/>
        </w:rPr>
        <w:t xml:space="preserve">alance de </w:t>
      </w:r>
      <w:r w:rsidR="00102E49">
        <w:rPr>
          <w:rFonts w:cs="Calibri"/>
          <w:lang w:val="es-MX"/>
        </w:rPr>
        <w:t>S</w:t>
      </w:r>
      <w:r w:rsidR="009C4913">
        <w:rPr>
          <w:rFonts w:cs="Calibri"/>
          <w:lang w:val="es-MX"/>
        </w:rPr>
        <w:t xml:space="preserve">ituación y  </w:t>
      </w:r>
      <w:r w:rsidR="00661F87">
        <w:rPr>
          <w:rFonts w:cs="Calibri"/>
          <w:lang w:val="es-MX"/>
        </w:rPr>
        <w:t>marzo 2019</w:t>
      </w:r>
      <w:r w:rsidR="009C4913">
        <w:rPr>
          <w:rFonts w:cs="Calibri"/>
          <w:lang w:val="es-MX"/>
        </w:rPr>
        <w:t xml:space="preserve"> y </w:t>
      </w:r>
      <w:r w:rsidR="00661F87">
        <w:rPr>
          <w:rFonts w:cs="Calibri"/>
          <w:lang w:val="es-MX"/>
        </w:rPr>
        <w:t>marzo 2018</w:t>
      </w:r>
      <w:r w:rsidR="009C4913">
        <w:rPr>
          <w:rFonts w:cs="Calibri"/>
          <w:lang w:val="es-MX"/>
        </w:rPr>
        <w:t>, las que se ob</w:t>
      </w:r>
      <w:r w:rsidR="00516E6B">
        <w:rPr>
          <w:rFonts w:cs="Calibri"/>
          <w:lang w:val="es-MX"/>
        </w:rPr>
        <w:t xml:space="preserve">tienen del </w:t>
      </w:r>
      <w:r w:rsidR="000E0689">
        <w:rPr>
          <w:rFonts w:cs="Calibri"/>
          <w:lang w:val="es-MX"/>
        </w:rPr>
        <w:t>E</w:t>
      </w:r>
      <w:r w:rsidR="00516E6B">
        <w:rPr>
          <w:rFonts w:cs="Calibri"/>
          <w:lang w:val="es-MX"/>
        </w:rPr>
        <w:t xml:space="preserve">stado de </w:t>
      </w:r>
      <w:r w:rsidR="000E0689">
        <w:rPr>
          <w:rFonts w:cs="Calibri"/>
          <w:lang w:val="es-MX"/>
        </w:rPr>
        <w:t>R</w:t>
      </w:r>
      <w:r w:rsidR="00516E6B">
        <w:rPr>
          <w:rFonts w:cs="Calibri"/>
          <w:lang w:val="es-MX"/>
        </w:rPr>
        <w:t>esultados</w:t>
      </w:r>
      <w:r w:rsidR="0052626F">
        <w:rPr>
          <w:rFonts w:cs="Calibri"/>
          <w:lang w:val="es-MX"/>
        </w:rPr>
        <w:t>.</w:t>
      </w:r>
      <w:r w:rsidRPr="00CF6B79">
        <w:rPr>
          <w:rFonts w:cs="Calibri"/>
          <w:lang w:val="es-MX"/>
        </w:rPr>
        <w:t xml:space="preserve"> </w:t>
      </w:r>
      <w:r w:rsidR="002A7BE5">
        <w:rPr>
          <w:rFonts w:cs="Calibri"/>
          <w:lang w:val="es-MX"/>
        </w:rPr>
        <w:t>P</w:t>
      </w:r>
      <w:r w:rsidRPr="00CF6B79">
        <w:rPr>
          <w:rFonts w:cs="Calibri"/>
          <w:lang w:val="es-MX"/>
        </w:rPr>
        <w:t>osterior a este se encuentra otro análisis f</w:t>
      </w:r>
      <w:r w:rsidR="00135C6E">
        <w:rPr>
          <w:rFonts w:cs="Calibri"/>
          <w:lang w:val="es-MX"/>
        </w:rPr>
        <w:t>inanciero horizontal que  complementa</w:t>
      </w:r>
      <w:r w:rsidRPr="00CF6B79">
        <w:rPr>
          <w:rFonts w:cs="Calibri"/>
          <w:lang w:val="es-MX"/>
        </w:rPr>
        <w:t xml:space="preserve"> las tendencias del comportamiento</w:t>
      </w:r>
      <w:r w:rsidR="00A05F5E">
        <w:rPr>
          <w:rFonts w:cs="Calibri"/>
          <w:lang w:val="es-MX"/>
        </w:rPr>
        <w:t>.</w:t>
      </w:r>
      <w:r w:rsidRPr="00CF6B79">
        <w:rPr>
          <w:rFonts w:cs="Calibri"/>
          <w:lang w:val="es-MX"/>
        </w:rPr>
        <w:t xml:space="preserve"> </w:t>
      </w:r>
    </w:p>
    <w:p w:rsidR="000E1F18" w:rsidRDefault="000E1F18" w:rsidP="00135C6E">
      <w:pPr>
        <w:spacing w:after="0"/>
        <w:rPr>
          <w:rFonts w:cs="Calibri"/>
          <w:lang w:val="es-MX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500"/>
        <w:gridCol w:w="1740"/>
        <w:gridCol w:w="1480"/>
      </w:tblGrid>
      <w:tr w:rsidR="00661F87" w:rsidRPr="00661F87" w:rsidTr="00661F87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center"/>
              <w:rPr>
                <w:rFonts w:cs="Calibri"/>
                <w:color w:val="000000"/>
                <w:lang w:val="es-CR" w:eastAsia="es-CR"/>
              </w:rPr>
            </w:pPr>
            <w:r w:rsidRPr="00661F87">
              <w:rPr>
                <w:rFonts w:cs="Calibri"/>
                <w:color w:val="000000"/>
                <w:lang w:val="es-CR" w:eastAsia="es-CR"/>
              </w:rPr>
              <w:t>Descripción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99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s-CR" w:eastAsia="es-CR"/>
              </w:rPr>
            </w:pPr>
            <w:r>
              <w:rPr>
                <w:rFonts w:cs="Calibri"/>
                <w:b/>
                <w:bCs/>
                <w:color w:val="FFFFFF"/>
                <w:lang w:val="es-CR" w:eastAsia="es-CR"/>
              </w:rPr>
              <w:t xml:space="preserve">Marzo </w:t>
            </w:r>
            <w:r w:rsidRPr="00661F87">
              <w:rPr>
                <w:rFonts w:cs="Calibri"/>
                <w:b/>
                <w:bCs/>
                <w:color w:val="FFFFFF"/>
                <w:lang w:val="es-CR" w:eastAsia="es-CR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99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s-CR" w:eastAsia="es-CR"/>
              </w:rPr>
            </w:pPr>
            <w:r w:rsidRPr="00661F87">
              <w:rPr>
                <w:rFonts w:cs="Calibri"/>
                <w:b/>
                <w:bCs/>
                <w:color w:val="FFFFFF"/>
                <w:lang w:val="es-CR" w:eastAsia="es-CR"/>
              </w:rPr>
              <w:t>Diciembre 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center"/>
              <w:rPr>
                <w:rFonts w:cs="Calibri"/>
                <w:color w:val="FFFFFF"/>
                <w:lang w:val="es-CR" w:eastAsia="es-CR"/>
              </w:rPr>
            </w:pPr>
            <w:r w:rsidRPr="00661F87">
              <w:rPr>
                <w:rFonts w:cs="Calibri"/>
                <w:color w:val="FFFFFF"/>
                <w:lang w:val="es-CR" w:eastAsia="es-CR"/>
              </w:rPr>
              <w:t>Promedio</w:t>
            </w:r>
          </w:p>
        </w:tc>
      </w:tr>
      <w:tr w:rsidR="00661F87" w:rsidRPr="00661F87" w:rsidTr="00661F8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99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rPr>
                <w:rFonts w:cs="Calibri"/>
                <w:color w:val="FFFFFF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FFFFFF"/>
                <w:sz w:val="20"/>
                <w:szCs w:val="20"/>
                <w:lang w:val="es-CR" w:eastAsia="es-CR"/>
              </w:rPr>
              <w:t>1. Análisis de Liquidez: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661F87" w:rsidRPr="00661F87" w:rsidTr="00661F8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Capital de trabajo neto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46.690.807,77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38.226.590,31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42.458.699,04</w:t>
            </w:r>
          </w:p>
        </w:tc>
      </w:tr>
      <w:tr w:rsidR="00661F87" w:rsidRPr="00661F87" w:rsidTr="00661F8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Razón circulante (Solvencia)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6,27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4,54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5,40</w:t>
            </w:r>
          </w:p>
        </w:tc>
      </w:tr>
      <w:tr w:rsidR="00661F87" w:rsidRPr="00661F87" w:rsidTr="00661F8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Razón rápida (prueba del ácido)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6,26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4,54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5,40</w:t>
            </w:r>
          </w:p>
        </w:tc>
      </w:tr>
      <w:tr w:rsidR="00661F87" w:rsidRPr="00661F87" w:rsidTr="00661F8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Solidez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182,46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176,48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179,47</w:t>
            </w:r>
          </w:p>
        </w:tc>
      </w:tr>
      <w:tr w:rsidR="00661F87" w:rsidRPr="00661F87" w:rsidTr="00661F8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F87" w:rsidRPr="00661F87" w:rsidRDefault="00661F87" w:rsidP="00661F8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661F87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</w:tbl>
    <w:p w:rsidR="000E1F18" w:rsidRDefault="000E1F18" w:rsidP="00135C6E">
      <w:pPr>
        <w:spacing w:after="0"/>
        <w:rPr>
          <w:rFonts w:cs="Calibri"/>
          <w:lang w:val="es-MX"/>
        </w:rPr>
      </w:pPr>
    </w:p>
    <w:p w:rsidR="00516E6B" w:rsidRDefault="00516E6B" w:rsidP="00135C6E">
      <w:pPr>
        <w:spacing w:after="0"/>
        <w:rPr>
          <w:rFonts w:cs="Calibri"/>
          <w:lang w:val="es-MX"/>
        </w:rPr>
      </w:pPr>
    </w:p>
    <w:p w:rsidR="00137C55" w:rsidRPr="00EE73F0" w:rsidRDefault="00EE73F0" w:rsidP="002A7BE5">
      <w:pPr>
        <w:spacing w:after="0" w:line="240" w:lineRule="auto"/>
        <w:ind w:left="426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 xml:space="preserve">1.1 </w:t>
      </w:r>
      <w:r w:rsidR="00E475D9" w:rsidRPr="00EE73F0">
        <w:rPr>
          <w:rFonts w:cs="Calibri"/>
          <w:lang w:val="es-MX"/>
        </w:rPr>
        <w:t>Razón de capital de trabajo: el cuadro anterior, muestra que la Universidad ha contado con capital de trabajo para atender</w:t>
      </w:r>
      <w:r w:rsidR="00C62AD2" w:rsidRPr="00EE73F0">
        <w:rPr>
          <w:rFonts w:cs="Calibri"/>
          <w:lang w:val="es-MX"/>
        </w:rPr>
        <w:t xml:space="preserve"> obligaciones en el corto plazo. </w:t>
      </w:r>
      <w:r w:rsidR="00E475D9" w:rsidRPr="00EE73F0">
        <w:rPr>
          <w:rFonts w:cs="Calibri"/>
          <w:lang w:val="es-MX"/>
        </w:rPr>
        <w:t xml:space="preserve"> </w:t>
      </w:r>
    </w:p>
    <w:p w:rsidR="00C62AD2" w:rsidRPr="00C62AD2" w:rsidRDefault="00C62AD2" w:rsidP="00C62AD2">
      <w:pPr>
        <w:pStyle w:val="Prrafodelista"/>
        <w:spacing w:after="0"/>
        <w:ind w:left="426"/>
        <w:jc w:val="both"/>
        <w:rPr>
          <w:rFonts w:cs="Calibri"/>
          <w:lang w:val="es-MX"/>
        </w:rPr>
      </w:pPr>
    </w:p>
    <w:p w:rsidR="00AC39DB" w:rsidRPr="00EE73F0" w:rsidRDefault="00E475D9" w:rsidP="002A7BE5">
      <w:pPr>
        <w:spacing w:after="0" w:line="240" w:lineRule="auto"/>
        <w:ind w:left="426"/>
        <w:jc w:val="both"/>
        <w:rPr>
          <w:rFonts w:cs="Calibri"/>
          <w:lang w:val="es-MX"/>
        </w:rPr>
      </w:pPr>
      <w:r w:rsidRPr="00EE73F0">
        <w:rPr>
          <w:rFonts w:cs="Calibri"/>
          <w:lang w:val="es-MX"/>
        </w:rPr>
        <w:t xml:space="preserve"> Esto significa que si se toman las oblig</w:t>
      </w:r>
      <w:r w:rsidR="00AD33CE">
        <w:rPr>
          <w:rFonts w:cs="Calibri"/>
          <w:lang w:val="es-MX"/>
        </w:rPr>
        <w:t xml:space="preserve">aciones en el corto plazo, y si </w:t>
      </w:r>
      <w:r w:rsidRPr="00EE73F0">
        <w:rPr>
          <w:rFonts w:cs="Calibri"/>
          <w:lang w:val="es-MX"/>
        </w:rPr>
        <w:t xml:space="preserve">se enfrentan con los recursos disponibles en ese mismo corto plazo, el resultado </w:t>
      </w:r>
      <w:r w:rsidR="00BD41A4" w:rsidRPr="00EE73F0">
        <w:rPr>
          <w:rFonts w:cs="Calibri"/>
          <w:lang w:val="es-MX"/>
        </w:rPr>
        <w:t>indica</w:t>
      </w:r>
      <w:r w:rsidRPr="00EE73F0">
        <w:rPr>
          <w:rFonts w:cs="Calibri"/>
          <w:lang w:val="es-MX"/>
        </w:rPr>
        <w:t xml:space="preserve"> que </w:t>
      </w:r>
      <w:r w:rsidR="00325FD5" w:rsidRPr="00EE73F0">
        <w:rPr>
          <w:rFonts w:cs="Calibri"/>
          <w:lang w:val="es-MX"/>
        </w:rPr>
        <w:t>se puede  hacer</w:t>
      </w:r>
      <w:r w:rsidRPr="00EE73F0">
        <w:rPr>
          <w:rFonts w:cs="Calibri"/>
          <w:lang w:val="es-MX"/>
        </w:rPr>
        <w:t xml:space="preserve"> frente a otras necesidades de financiamiento a corto plazo.  En este caso por ejemplo</w:t>
      </w:r>
      <w:r w:rsidR="000152A4" w:rsidRPr="00EE73F0">
        <w:rPr>
          <w:rFonts w:cs="Calibri"/>
          <w:lang w:val="es-MX"/>
        </w:rPr>
        <w:t>,</w:t>
      </w:r>
      <w:r w:rsidRPr="00EE73F0">
        <w:rPr>
          <w:rFonts w:cs="Calibri"/>
          <w:lang w:val="es-MX"/>
        </w:rPr>
        <w:t xml:space="preserve"> después de rebajar los pasivos corrientes a los activos corrientes, para el </w:t>
      </w:r>
      <w:r w:rsidR="00A510A0" w:rsidRPr="00EE73F0">
        <w:rPr>
          <w:rFonts w:cs="Calibri"/>
          <w:lang w:val="es-MX"/>
        </w:rPr>
        <w:t>mes de</w:t>
      </w:r>
      <w:r w:rsidR="00937728">
        <w:rPr>
          <w:rFonts w:cs="Calibri"/>
          <w:lang w:val="es-MX"/>
        </w:rPr>
        <w:t xml:space="preserve"> </w:t>
      </w:r>
      <w:r w:rsidR="00661F87">
        <w:rPr>
          <w:rFonts w:cs="Calibri"/>
          <w:lang w:val="es-MX"/>
        </w:rPr>
        <w:t xml:space="preserve">marzo </w:t>
      </w:r>
      <w:r w:rsidR="00937728">
        <w:rPr>
          <w:rFonts w:cs="Calibri"/>
          <w:lang w:val="es-MX"/>
        </w:rPr>
        <w:t>201</w:t>
      </w:r>
      <w:r w:rsidR="00661F87">
        <w:rPr>
          <w:rFonts w:cs="Calibri"/>
          <w:lang w:val="es-MX"/>
        </w:rPr>
        <w:t>9</w:t>
      </w:r>
      <w:r w:rsidR="00937728">
        <w:rPr>
          <w:rFonts w:cs="Calibri"/>
          <w:lang w:val="es-MX"/>
        </w:rPr>
        <w:t>, corresponde a un monto de</w:t>
      </w:r>
      <w:r w:rsidR="00661F87">
        <w:rPr>
          <w:rFonts w:cs="Calibri"/>
          <w:lang w:val="es-MX"/>
        </w:rPr>
        <w:t xml:space="preserve"> </w:t>
      </w:r>
      <w:r w:rsidR="00661F87" w:rsidRPr="00661F87">
        <w:rPr>
          <w:rFonts w:cs="Calibri"/>
          <w:color w:val="000000"/>
          <w:sz w:val="20"/>
          <w:szCs w:val="20"/>
          <w:lang w:val="es-CR" w:eastAsia="es-CR"/>
        </w:rPr>
        <w:t>46.690.807,77</w:t>
      </w:r>
      <w:r w:rsidR="00937728">
        <w:rPr>
          <w:rFonts w:cs="Calibri"/>
          <w:lang w:val="es-MX"/>
        </w:rPr>
        <w:t xml:space="preserve"> </w:t>
      </w:r>
      <w:r w:rsidR="00516E6B">
        <w:rPr>
          <w:color w:val="000000"/>
          <w:sz w:val="20"/>
          <w:szCs w:val="20"/>
        </w:rPr>
        <w:t xml:space="preserve"> </w:t>
      </w:r>
      <w:r w:rsidR="00937728">
        <w:rPr>
          <w:rFonts w:cs="Calibri"/>
          <w:lang w:val="es-MX"/>
        </w:rPr>
        <w:t xml:space="preserve">y para </w:t>
      </w:r>
      <w:r w:rsidR="00A510A0" w:rsidRPr="00EE73F0">
        <w:rPr>
          <w:rFonts w:cs="Calibri"/>
          <w:lang w:val="es-MX"/>
        </w:rPr>
        <w:t xml:space="preserve"> </w:t>
      </w:r>
      <w:r w:rsidR="001B253F">
        <w:rPr>
          <w:rFonts w:cs="Calibri"/>
          <w:lang w:val="es-MX"/>
        </w:rPr>
        <w:t>diciembre</w:t>
      </w:r>
      <w:r w:rsidR="00A510A0" w:rsidRPr="00EE73F0">
        <w:rPr>
          <w:rFonts w:cs="Calibri"/>
          <w:lang w:val="es-MX"/>
        </w:rPr>
        <w:t xml:space="preserve"> </w:t>
      </w:r>
      <w:r w:rsidR="00614251" w:rsidRPr="00EE73F0">
        <w:rPr>
          <w:rFonts w:cs="Calibri"/>
          <w:lang w:val="es-MX"/>
        </w:rPr>
        <w:t xml:space="preserve"> </w:t>
      </w:r>
      <w:r w:rsidR="00A510A0" w:rsidRPr="00EE73F0">
        <w:rPr>
          <w:rFonts w:cs="Calibri"/>
          <w:lang w:val="es-MX"/>
        </w:rPr>
        <w:t>201</w:t>
      </w:r>
      <w:r w:rsidR="00661F87">
        <w:rPr>
          <w:rFonts w:cs="Calibri"/>
          <w:lang w:val="es-MX"/>
        </w:rPr>
        <w:t>8</w:t>
      </w:r>
      <w:r w:rsidR="00AC39DB" w:rsidRPr="00EE73F0">
        <w:rPr>
          <w:rFonts w:cs="Calibri"/>
          <w:lang w:val="es-MX"/>
        </w:rPr>
        <w:t xml:space="preserve"> </w:t>
      </w:r>
      <w:r w:rsidR="009D5AD6" w:rsidRPr="00EE73F0">
        <w:rPr>
          <w:rFonts w:cs="Calibri"/>
          <w:lang w:val="es-MX"/>
        </w:rPr>
        <w:t xml:space="preserve">corresponde a un </w:t>
      </w:r>
      <w:r w:rsidRPr="00EE73F0">
        <w:rPr>
          <w:rFonts w:cs="Calibri"/>
          <w:lang w:val="es-MX"/>
        </w:rPr>
        <w:t xml:space="preserve"> monto </w:t>
      </w:r>
      <w:r w:rsidR="00661F87">
        <w:rPr>
          <w:color w:val="000000"/>
          <w:sz w:val="20"/>
          <w:szCs w:val="20"/>
        </w:rPr>
        <w:t>38.226.590,31.</w:t>
      </w:r>
    </w:p>
    <w:p w:rsidR="00F2269D" w:rsidRPr="00F2269D" w:rsidRDefault="00F2269D" w:rsidP="002A7BE5">
      <w:pPr>
        <w:pStyle w:val="Prrafodelista"/>
        <w:spacing w:line="240" w:lineRule="auto"/>
        <w:rPr>
          <w:rFonts w:cs="Calibri"/>
          <w:lang w:val="es-MX"/>
        </w:rPr>
      </w:pPr>
    </w:p>
    <w:p w:rsidR="00F2269D" w:rsidRDefault="00F2269D" w:rsidP="002A7BE5">
      <w:pPr>
        <w:pStyle w:val="Prrafodelista"/>
        <w:spacing w:after="0" w:line="240" w:lineRule="auto"/>
        <w:ind w:left="426"/>
        <w:jc w:val="both"/>
        <w:rPr>
          <w:rFonts w:cs="Calibri"/>
          <w:lang w:val="es-MX"/>
        </w:rPr>
      </w:pPr>
      <w:r w:rsidRPr="00CF6B79">
        <w:rPr>
          <w:rFonts w:cs="Calibri"/>
          <w:lang w:val="es-MX"/>
        </w:rPr>
        <w:t>Es importante indicar que en la composición de esta razón se encuentran inversiones a corto plazo, así como cuentas por cobrar, y otras sub</w:t>
      </w:r>
      <w:r w:rsidR="00516E6B">
        <w:rPr>
          <w:rFonts w:cs="Calibri"/>
          <w:lang w:val="es-MX"/>
        </w:rPr>
        <w:t>-</w:t>
      </w:r>
      <w:r w:rsidRPr="00CF6B79">
        <w:rPr>
          <w:rFonts w:cs="Calibri"/>
          <w:lang w:val="es-MX"/>
        </w:rPr>
        <w:t>partidas que no son en efectivo, esto implica que para hacerlas efectivo debe realizarse diferentes trámites o procedimientos durante un tiempo par</w:t>
      </w:r>
      <w:r w:rsidR="00196AF1">
        <w:rPr>
          <w:rFonts w:cs="Calibri"/>
          <w:lang w:val="es-MX"/>
        </w:rPr>
        <w:t>a convertirlas a tal situación.</w:t>
      </w:r>
    </w:p>
    <w:p w:rsidR="00E475D9" w:rsidRDefault="00E475D9" w:rsidP="00E475D9">
      <w:pPr>
        <w:spacing w:after="0"/>
        <w:ind w:left="426"/>
        <w:jc w:val="both"/>
        <w:rPr>
          <w:rFonts w:cs="Calibri"/>
          <w:lang w:val="es-MX"/>
        </w:rPr>
      </w:pPr>
    </w:p>
    <w:p w:rsidR="00AD33CE" w:rsidRDefault="007117AD" w:rsidP="00BE2BF6">
      <w:pPr>
        <w:pStyle w:val="Prrafodelista"/>
        <w:numPr>
          <w:ilvl w:val="1"/>
          <w:numId w:val="6"/>
        </w:numPr>
        <w:spacing w:after="0" w:line="240" w:lineRule="auto"/>
        <w:ind w:left="426" w:firstLine="0"/>
        <w:jc w:val="both"/>
        <w:rPr>
          <w:rFonts w:cs="Calibri"/>
          <w:lang w:val="es-MX"/>
        </w:rPr>
      </w:pPr>
      <w:r w:rsidRPr="00AD33CE">
        <w:rPr>
          <w:rFonts w:cs="Calibri"/>
          <w:lang w:val="es-MX"/>
        </w:rPr>
        <w:t xml:space="preserve"> </w:t>
      </w:r>
      <w:r w:rsidR="00E475D9" w:rsidRPr="00AD33CE">
        <w:rPr>
          <w:rFonts w:cs="Calibri"/>
          <w:lang w:val="es-MX"/>
        </w:rPr>
        <w:t xml:space="preserve">Razón circulante: esta razón también llamada solvencia muestra que la Universidad tiene capacidad para cubrir sus </w:t>
      </w:r>
      <w:r w:rsidR="00B027C4" w:rsidRPr="00AD33CE">
        <w:rPr>
          <w:rFonts w:cs="Calibri"/>
          <w:lang w:val="es-MX"/>
        </w:rPr>
        <w:t>obligaciones a corto plazo,</w:t>
      </w:r>
      <w:r w:rsidR="00937728" w:rsidRPr="00AD33CE">
        <w:rPr>
          <w:rFonts w:cs="Calibri"/>
          <w:lang w:val="es-MX"/>
        </w:rPr>
        <w:t xml:space="preserve"> para  </w:t>
      </w:r>
      <w:r w:rsidR="00661F87">
        <w:rPr>
          <w:rFonts w:cs="Calibri"/>
          <w:lang w:val="es-MX"/>
        </w:rPr>
        <w:t>marzo 2019</w:t>
      </w:r>
      <w:r w:rsidR="00937728" w:rsidRPr="00AD33CE">
        <w:rPr>
          <w:rFonts w:cs="Calibri"/>
          <w:lang w:val="es-MX"/>
        </w:rPr>
        <w:t xml:space="preserve">, esta razón muestra que con los activos a corto plazo se cubre el </w:t>
      </w:r>
      <w:r w:rsidR="00661F87">
        <w:rPr>
          <w:rFonts w:cs="Calibri"/>
          <w:lang w:val="es-MX"/>
        </w:rPr>
        <w:t>6.27</w:t>
      </w:r>
      <w:r w:rsidR="00937728" w:rsidRPr="00AD33CE">
        <w:rPr>
          <w:rFonts w:cs="Calibri"/>
          <w:lang w:val="es-MX"/>
        </w:rPr>
        <w:t xml:space="preserve"> veces los pasivos a corto plazo,  </w:t>
      </w:r>
      <w:r w:rsidR="00B027C4" w:rsidRPr="00AD33CE">
        <w:rPr>
          <w:rFonts w:cs="Calibri"/>
          <w:lang w:val="es-MX"/>
        </w:rPr>
        <w:t xml:space="preserve"> </w:t>
      </w:r>
      <w:r w:rsidR="00937728" w:rsidRPr="00AD33CE">
        <w:rPr>
          <w:rFonts w:cs="Calibri"/>
          <w:lang w:val="es-MX"/>
        </w:rPr>
        <w:t xml:space="preserve">en otras palabras se pueden pagar </w:t>
      </w:r>
      <w:r w:rsidR="00661F87">
        <w:rPr>
          <w:rFonts w:cs="Calibri"/>
          <w:lang w:val="es-MX"/>
        </w:rPr>
        <w:t xml:space="preserve">6,27 </w:t>
      </w:r>
      <w:r w:rsidR="00937728" w:rsidRPr="00AD33CE">
        <w:rPr>
          <w:rFonts w:cs="Calibri"/>
          <w:lang w:val="es-MX"/>
        </w:rPr>
        <w:t xml:space="preserve"> veces las obligaciones a corto plazo. </w:t>
      </w:r>
      <w:r w:rsidR="00F855F8" w:rsidRPr="00AD33CE">
        <w:rPr>
          <w:rFonts w:cs="Calibri"/>
          <w:lang w:val="es-MX"/>
        </w:rPr>
        <w:t>Al cierre de diciembr</w:t>
      </w:r>
      <w:r w:rsidR="0053756A" w:rsidRPr="00AD33CE">
        <w:rPr>
          <w:rFonts w:cs="Calibri"/>
          <w:lang w:val="es-MX"/>
        </w:rPr>
        <w:t>e del 201</w:t>
      </w:r>
      <w:r w:rsidR="00D66E68">
        <w:rPr>
          <w:rFonts w:cs="Calibri"/>
          <w:lang w:val="es-MX"/>
        </w:rPr>
        <w:t>8</w:t>
      </w:r>
      <w:r w:rsidR="0053756A" w:rsidRPr="00AD33CE">
        <w:rPr>
          <w:rFonts w:cs="Calibri"/>
          <w:lang w:val="es-MX"/>
        </w:rPr>
        <w:t xml:space="preserve"> </w:t>
      </w:r>
      <w:r w:rsidR="00D96342" w:rsidRPr="00AD33CE">
        <w:rPr>
          <w:rFonts w:cs="Calibri"/>
          <w:lang w:val="es-MX"/>
        </w:rPr>
        <w:t xml:space="preserve">el índice es de  un </w:t>
      </w:r>
      <w:r w:rsidR="00937728" w:rsidRPr="00AD33CE">
        <w:rPr>
          <w:rFonts w:cs="Calibri"/>
          <w:lang w:val="es-MX"/>
        </w:rPr>
        <w:t>4.</w:t>
      </w:r>
      <w:r w:rsidR="00C86B99">
        <w:rPr>
          <w:rFonts w:cs="Calibri"/>
          <w:lang w:val="es-MX"/>
        </w:rPr>
        <w:t>54</w:t>
      </w:r>
      <w:r w:rsidR="00AD33CE" w:rsidRPr="00AD33CE">
        <w:rPr>
          <w:rFonts w:cs="Calibri"/>
          <w:lang w:val="es-MX"/>
        </w:rPr>
        <w:t xml:space="preserve">%. </w:t>
      </w:r>
      <w:r w:rsidR="0053756A" w:rsidRPr="00AD33CE">
        <w:rPr>
          <w:rFonts w:cs="Calibri"/>
          <w:lang w:val="es-MX"/>
        </w:rPr>
        <w:t xml:space="preserve"> </w:t>
      </w:r>
    </w:p>
    <w:p w:rsidR="00AD33CE" w:rsidRDefault="00AD33CE" w:rsidP="00AD33CE">
      <w:pPr>
        <w:pStyle w:val="Prrafodelista"/>
        <w:spacing w:after="0" w:line="240" w:lineRule="auto"/>
        <w:ind w:left="426"/>
        <w:jc w:val="both"/>
        <w:rPr>
          <w:rFonts w:cs="Calibri"/>
          <w:lang w:val="es-MX"/>
        </w:rPr>
      </w:pPr>
    </w:p>
    <w:p w:rsidR="001C408C" w:rsidRPr="00AD33CE" w:rsidRDefault="00AD33CE" w:rsidP="00A2008F">
      <w:pPr>
        <w:pStyle w:val="Prrafodelista"/>
        <w:numPr>
          <w:ilvl w:val="1"/>
          <w:numId w:val="6"/>
        </w:numPr>
        <w:spacing w:after="0" w:line="240" w:lineRule="auto"/>
        <w:ind w:left="426" w:firstLine="0"/>
        <w:jc w:val="both"/>
        <w:rPr>
          <w:color w:val="000000"/>
          <w:lang w:val="es-CR" w:eastAsia="es-CR"/>
        </w:rPr>
      </w:pPr>
      <w:r w:rsidRPr="00AD33CE">
        <w:rPr>
          <w:rFonts w:cs="Calibri"/>
          <w:lang w:val="es-MX"/>
        </w:rPr>
        <w:t xml:space="preserve"> </w:t>
      </w:r>
      <w:r w:rsidR="00E475D9" w:rsidRPr="00AD33CE">
        <w:rPr>
          <w:rFonts w:cs="Calibri"/>
          <w:lang w:val="es-MX"/>
        </w:rPr>
        <w:t>Razón de prueba ácida: se indica que esta razón muestra la liquidez de la Universidad en términos de los activos más líquidos, por lo que se excluye el inventario, versus los pasivos a corto plazo.  Sin embargo, para efectos de este análisis  se debe tener un especial cuidado, ya que esta razón se utiliza en empresas que tienen ven</w:t>
      </w:r>
      <w:r w:rsidR="003644EB" w:rsidRPr="00AD33CE">
        <w:rPr>
          <w:rFonts w:cs="Calibri"/>
          <w:lang w:val="es-MX"/>
        </w:rPr>
        <w:t xml:space="preserve">tas por lo que el inventario </w:t>
      </w:r>
      <w:r w:rsidR="00E475D9" w:rsidRPr="00AD33CE">
        <w:rPr>
          <w:rFonts w:cs="Calibri"/>
          <w:lang w:val="es-MX"/>
        </w:rPr>
        <w:t xml:space="preserve"> </w:t>
      </w:r>
      <w:r w:rsidR="00E475D9" w:rsidRPr="00AD33CE">
        <w:rPr>
          <w:rFonts w:cs="Calibri"/>
          <w:lang w:val="es-MX"/>
        </w:rPr>
        <w:lastRenderedPageBreak/>
        <w:t>se excluye en la razón es para una empresa comercial,</w:t>
      </w:r>
      <w:r w:rsidR="00E31FFF" w:rsidRPr="00AD33CE">
        <w:rPr>
          <w:rFonts w:cs="Calibri"/>
          <w:lang w:val="es-MX"/>
        </w:rPr>
        <w:t xml:space="preserve"> mientras que la Universidad </w:t>
      </w:r>
      <w:r w:rsidR="00E475D9" w:rsidRPr="00AD33CE">
        <w:rPr>
          <w:rFonts w:cs="Calibri"/>
          <w:lang w:val="es-MX"/>
        </w:rPr>
        <w:t xml:space="preserve"> no es una empresa comercial, con esa advertencia se muestra un comportam</w:t>
      </w:r>
      <w:r w:rsidR="001C408C" w:rsidRPr="00AD33CE">
        <w:rPr>
          <w:rFonts w:cs="Calibri"/>
          <w:lang w:val="es-MX"/>
        </w:rPr>
        <w:t xml:space="preserve">iento similar al de solvencia, </w:t>
      </w:r>
      <w:r w:rsidR="00C37E04" w:rsidRPr="00AD33CE">
        <w:rPr>
          <w:rFonts w:cs="Calibri"/>
          <w:lang w:val="es-MX"/>
        </w:rPr>
        <w:t xml:space="preserve"> </w:t>
      </w:r>
      <w:r w:rsidR="00E475D9" w:rsidRPr="00AD33CE">
        <w:rPr>
          <w:rFonts w:cs="Calibri"/>
          <w:lang w:val="es-MX"/>
        </w:rPr>
        <w:t xml:space="preserve"> </w:t>
      </w:r>
      <w:r w:rsidR="003644EB" w:rsidRPr="00AD33CE">
        <w:rPr>
          <w:rFonts w:cs="Calibri"/>
          <w:lang w:val="es-MX"/>
        </w:rPr>
        <w:t>en</w:t>
      </w:r>
      <w:r w:rsidR="00E475D9" w:rsidRPr="00AD33CE">
        <w:rPr>
          <w:rFonts w:cs="Calibri"/>
          <w:lang w:val="es-MX"/>
        </w:rPr>
        <w:t xml:space="preserve"> el </w:t>
      </w:r>
      <w:r w:rsidR="00484459" w:rsidRPr="00AD33CE">
        <w:rPr>
          <w:rFonts w:cs="Calibri"/>
          <w:lang w:val="es-MX"/>
        </w:rPr>
        <w:t xml:space="preserve">mes de </w:t>
      </w:r>
      <w:r w:rsidR="00C86B99">
        <w:rPr>
          <w:rFonts w:cs="Calibri"/>
          <w:lang w:val="es-MX"/>
        </w:rPr>
        <w:t xml:space="preserve">marzo </w:t>
      </w:r>
      <w:r w:rsidR="00990066" w:rsidRPr="00AD33CE">
        <w:rPr>
          <w:rFonts w:cs="Calibri"/>
          <w:lang w:val="es-MX"/>
        </w:rPr>
        <w:t xml:space="preserve"> 201</w:t>
      </w:r>
      <w:r w:rsidR="00C86B99">
        <w:rPr>
          <w:rFonts w:cs="Calibri"/>
          <w:lang w:val="es-MX"/>
        </w:rPr>
        <w:t>9</w:t>
      </w:r>
      <w:r w:rsidR="00990066" w:rsidRPr="00AD33CE">
        <w:rPr>
          <w:rFonts w:cs="Calibri"/>
          <w:lang w:val="es-MX"/>
        </w:rPr>
        <w:t xml:space="preserve"> es de </w:t>
      </w:r>
      <w:r w:rsidR="00C86B99">
        <w:rPr>
          <w:rFonts w:cs="Calibri"/>
          <w:lang w:val="es-MX"/>
        </w:rPr>
        <w:t>6,26</w:t>
      </w:r>
      <w:r w:rsidR="00990066" w:rsidRPr="00AD33CE">
        <w:rPr>
          <w:rFonts w:cs="Calibri"/>
          <w:lang w:val="es-MX"/>
        </w:rPr>
        <w:t xml:space="preserve"> y en el mes de </w:t>
      </w:r>
      <w:r w:rsidR="00443F62" w:rsidRPr="00AD33CE">
        <w:rPr>
          <w:rFonts w:cs="Calibri"/>
          <w:lang w:val="es-MX"/>
        </w:rPr>
        <w:t>diciembre</w:t>
      </w:r>
      <w:r w:rsidR="009D4431" w:rsidRPr="00AD33CE">
        <w:rPr>
          <w:rFonts w:cs="Calibri"/>
          <w:lang w:val="es-MX"/>
        </w:rPr>
        <w:t xml:space="preserve"> </w:t>
      </w:r>
      <w:r w:rsidR="00484459" w:rsidRPr="00AD33CE">
        <w:rPr>
          <w:rFonts w:cs="Calibri"/>
          <w:lang w:val="es-MX"/>
        </w:rPr>
        <w:t>201</w:t>
      </w:r>
      <w:r w:rsidR="00C86B99">
        <w:rPr>
          <w:rFonts w:cs="Calibri"/>
          <w:lang w:val="es-MX"/>
        </w:rPr>
        <w:t>8</w:t>
      </w:r>
      <w:r w:rsidR="001D7EF3" w:rsidRPr="00AD33CE">
        <w:rPr>
          <w:rFonts w:cs="Calibri"/>
          <w:lang w:val="es-MX"/>
        </w:rPr>
        <w:t xml:space="preserve"> </w:t>
      </w:r>
      <w:r w:rsidR="00766706" w:rsidRPr="00AD33CE">
        <w:rPr>
          <w:rFonts w:cs="Calibri"/>
          <w:lang w:val="es-MX"/>
        </w:rPr>
        <w:t xml:space="preserve"> </w:t>
      </w:r>
      <w:r w:rsidR="001D7EF3" w:rsidRPr="00AD33CE">
        <w:rPr>
          <w:rFonts w:cs="Calibri"/>
          <w:lang w:val="es-MX"/>
        </w:rPr>
        <w:t>es de</w:t>
      </w:r>
      <w:r w:rsidR="00766706" w:rsidRPr="00AD33CE">
        <w:rPr>
          <w:rFonts w:cs="Calibri"/>
          <w:lang w:val="es-MX"/>
        </w:rPr>
        <w:t xml:space="preserve"> </w:t>
      </w:r>
      <w:r w:rsidR="001D7EF3" w:rsidRPr="00AD33CE">
        <w:rPr>
          <w:rFonts w:cs="Calibri"/>
          <w:lang w:val="es-MX"/>
        </w:rPr>
        <w:t xml:space="preserve"> </w:t>
      </w:r>
      <w:r w:rsidR="00C86B99">
        <w:rPr>
          <w:rFonts w:cs="Calibri"/>
          <w:lang w:val="es-MX"/>
        </w:rPr>
        <w:t>4,54</w:t>
      </w:r>
      <w:r w:rsidR="00C86B99" w:rsidRPr="00AD33CE">
        <w:rPr>
          <w:rFonts w:cs="Calibri"/>
          <w:lang w:val="es-MX"/>
        </w:rPr>
        <w:t xml:space="preserve"> </w:t>
      </w:r>
      <w:r w:rsidR="00E475D9" w:rsidRPr="00AD33CE">
        <w:rPr>
          <w:rFonts w:cs="Calibri"/>
          <w:lang w:val="es-MX"/>
        </w:rPr>
        <w:t>veces</w:t>
      </w:r>
      <w:r w:rsidR="00990066" w:rsidRPr="00AD33CE">
        <w:rPr>
          <w:rFonts w:cs="Calibri"/>
          <w:lang w:val="es-MX"/>
        </w:rPr>
        <w:t>.</w:t>
      </w:r>
      <w:r w:rsidR="00766706" w:rsidRPr="00AD33CE">
        <w:rPr>
          <w:rFonts w:cs="Calibri"/>
          <w:lang w:val="es-MX"/>
        </w:rPr>
        <w:t xml:space="preserve"> </w:t>
      </w:r>
      <w:r w:rsidR="00E475D9" w:rsidRPr="00AD33CE">
        <w:rPr>
          <w:rFonts w:cs="Calibri"/>
          <w:lang w:val="es-MX"/>
        </w:rPr>
        <w:t xml:space="preserve"> </w:t>
      </w:r>
    </w:p>
    <w:p w:rsidR="00E475D9" w:rsidRDefault="00E475D9" w:rsidP="002A7BE5">
      <w:pPr>
        <w:spacing w:after="0" w:line="240" w:lineRule="auto"/>
        <w:ind w:left="426"/>
        <w:jc w:val="both"/>
        <w:rPr>
          <w:rFonts w:cs="Calibri"/>
          <w:lang w:val="es-MX"/>
        </w:rPr>
      </w:pPr>
    </w:p>
    <w:p w:rsidR="00E475D9" w:rsidRPr="006161A6" w:rsidRDefault="006161A6" w:rsidP="002A7BE5">
      <w:pPr>
        <w:spacing w:after="0" w:line="240" w:lineRule="auto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 xml:space="preserve">1.4 </w:t>
      </w:r>
      <w:r w:rsidR="00E475D9" w:rsidRPr="006161A6">
        <w:rPr>
          <w:rFonts w:cs="Calibri"/>
          <w:lang w:val="es-MX"/>
        </w:rPr>
        <w:t xml:space="preserve">Solidez: la razón solidez viene a mostrar el comportamiento más a largo plazo, esta </w:t>
      </w:r>
      <w:r w:rsidR="003644EB">
        <w:rPr>
          <w:rFonts w:cs="Calibri"/>
          <w:lang w:val="es-MX"/>
        </w:rPr>
        <w:t xml:space="preserve">revela la cantidad de veces </w:t>
      </w:r>
      <w:r w:rsidR="00E475D9" w:rsidRPr="006161A6">
        <w:rPr>
          <w:rFonts w:cs="Calibri"/>
          <w:lang w:val="es-MX"/>
        </w:rPr>
        <w:t xml:space="preserve"> que los activos a largo plazo cubren las obligaciones a largo plazo, esto </w:t>
      </w:r>
      <w:r w:rsidR="001A331B" w:rsidRPr="006161A6">
        <w:rPr>
          <w:rFonts w:cs="Calibri"/>
          <w:lang w:val="es-MX"/>
        </w:rPr>
        <w:t xml:space="preserve">muestra </w:t>
      </w:r>
      <w:r w:rsidR="00E475D9" w:rsidRPr="006161A6">
        <w:rPr>
          <w:rFonts w:cs="Calibri"/>
          <w:lang w:val="es-MX"/>
        </w:rPr>
        <w:t xml:space="preserve"> en términos del tiempo la capacidad que tiene la institución para hacerle fre</w:t>
      </w:r>
      <w:r w:rsidR="00F376EC" w:rsidRPr="006161A6">
        <w:rPr>
          <w:rFonts w:cs="Calibri"/>
          <w:lang w:val="es-MX"/>
        </w:rPr>
        <w:t>n</w:t>
      </w:r>
      <w:r w:rsidR="00E475D9" w:rsidRPr="006161A6">
        <w:rPr>
          <w:rFonts w:cs="Calibri"/>
          <w:lang w:val="es-MX"/>
        </w:rPr>
        <w:t xml:space="preserve">te a sus obligaciones, en ese sentido se puede determinar la cobertura de la misma en el tiempo.  </w:t>
      </w:r>
      <w:r w:rsidR="00CC7012" w:rsidRPr="006161A6">
        <w:rPr>
          <w:rFonts w:cs="Calibri"/>
          <w:lang w:val="es-MX"/>
        </w:rPr>
        <w:t>L</w:t>
      </w:r>
      <w:r w:rsidR="00E475D9" w:rsidRPr="006161A6">
        <w:rPr>
          <w:rFonts w:cs="Calibri"/>
          <w:lang w:val="es-MX"/>
        </w:rPr>
        <w:t>as obligaciones</w:t>
      </w:r>
      <w:r w:rsidR="00CC7012" w:rsidRPr="006161A6">
        <w:rPr>
          <w:rFonts w:cs="Calibri"/>
          <w:lang w:val="es-MX"/>
        </w:rPr>
        <w:t xml:space="preserve"> a largo plazo, corresponden </w:t>
      </w:r>
      <w:r w:rsidR="00E475D9" w:rsidRPr="006161A6">
        <w:rPr>
          <w:rFonts w:cs="Calibri"/>
          <w:lang w:val="es-MX"/>
        </w:rPr>
        <w:t xml:space="preserve"> </w:t>
      </w:r>
      <w:r w:rsidR="00CC7012" w:rsidRPr="006161A6">
        <w:rPr>
          <w:rFonts w:cs="Calibri"/>
          <w:lang w:val="es-MX"/>
        </w:rPr>
        <w:t>al</w:t>
      </w:r>
      <w:r w:rsidR="00E475D9" w:rsidRPr="006161A6">
        <w:rPr>
          <w:rFonts w:cs="Calibri"/>
          <w:lang w:val="es-MX"/>
        </w:rPr>
        <w:t xml:space="preserve"> préstamo con el Banco Nacional y el Banco Popular, lo que hace que la razón muestre resultados aprovechando financiamiento a largo plazo, al enfrentar los activos a largo plazo con pasivos a largo plazo en caso de una liquidación (que tampoco es el fin de una institución como la Universidad Nacional), solamente se menciona para efectos de análisis, en es</w:t>
      </w:r>
      <w:r w:rsidR="00F65559" w:rsidRPr="006161A6">
        <w:rPr>
          <w:rFonts w:cs="Calibri"/>
          <w:lang w:val="es-MX"/>
        </w:rPr>
        <w:t>e sentido los resultados son</w:t>
      </w:r>
      <w:r w:rsidR="0090447F">
        <w:rPr>
          <w:rFonts w:cs="Calibri"/>
          <w:lang w:val="es-MX"/>
        </w:rPr>
        <w:t xml:space="preserve"> para </w:t>
      </w:r>
      <w:r w:rsidR="007016A6">
        <w:rPr>
          <w:rFonts w:cs="Calibri"/>
          <w:lang w:val="es-MX"/>
        </w:rPr>
        <w:t>marzo</w:t>
      </w:r>
      <w:r w:rsidR="0090447F">
        <w:rPr>
          <w:rFonts w:cs="Calibri"/>
          <w:lang w:val="es-MX"/>
        </w:rPr>
        <w:t xml:space="preserve"> 201</w:t>
      </w:r>
      <w:r w:rsidR="007016A6">
        <w:rPr>
          <w:rFonts w:cs="Calibri"/>
          <w:lang w:val="es-MX"/>
        </w:rPr>
        <w:t>9</w:t>
      </w:r>
      <w:r w:rsidR="00F65559" w:rsidRPr="006161A6">
        <w:rPr>
          <w:rFonts w:cs="Calibri"/>
          <w:lang w:val="es-MX"/>
        </w:rPr>
        <w:t xml:space="preserve"> </w:t>
      </w:r>
      <w:r w:rsidR="00E475D9" w:rsidRPr="006161A6">
        <w:rPr>
          <w:rFonts w:cs="Calibri"/>
          <w:lang w:val="es-MX"/>
        </w:rPr>
        <w:t>los activos a</w:t>
      </w:r>
      <w:r w:rsidR="002F0C48" w:rsidRPr="006161A6">
        <w:rPr>
          <w:rFonts w:cs="Calibri"/>
          <w:lang w:val="es-MX"/>
        </w:rPr>
        <w:t xml:space="preserve"> largo plazo </w:t>
      </w:r>
      <w:r w:rsidR="0090447F">
        <w:rPr>
          <w:rFonts w:cs="Calibri"/>
          <w:lang w:val="es-MX"/>
        </w:rPr>
        <w:t xml:space="preserve"> cubren </w:t>
      </w:r>
      <w:r w:rsidR="007016A6">
        <w:rPr>
          <w:rFonts w:cs="Calibri"/>
          <w:lang w:val="es-MX"/>
        </w:rPr>
        <w:t>182,46</w:t>
      </w:r>
      <w:r w:rsidR="0090447F">
        <w:rPr>
          <w:rFonts w:cs="Calibri"/>
          <w:lang w:val="es-MX"/>
        </w:rPr>
        <w:t xml:space="preserve"> y</w:t>
      </w:r>
      <w:r w:rsidR="0090447F" w:rsidRPr="0090447F">
        <w:rPr>
          <w:rFonts w:cs="Calibri"/>
          <w:lang w:val="es-MX"/>
        </w:rPr>
        <w:t xml:space="preserve"> </w:t>
      </w:r>
      <w:r w:rsidR="0090447F" w:rsidRPr="006161A6">
        <w:rPr>
          <w:rFonts w:cs="Calibri"/>
          <w:lang w:val="es-MX"/>
        </w:rPr>
        <w:t xml:space="preserve">para </w:t>
      </w:r>
      <w:r w:rsidR="0090447F">
        <w:rPr>
          <w:rFonts w:cs="Calibri"/>
          <w:lang w:val="es-MX"/>
        </w:rPr>
        <w:t>diciembre</w:t>
      </w:r>
      <w:r w:rsidR="0090447F" w:rsidRPr="006161A6">
        <w:rPr>
          <w:rFonts w:cs="Calibri"/>
          <w:lang w:val="es-MX"/>
        </w:rPr>
        <w:t xml:space="preserve"> 201</w:t>
      </w:r>
      <w:r w:rsidR="007016A6">
        <w:rPr>
          <w:rFonts w:cs="Calibri"/>
          <w:lang w:val="es-MX"/>
        </w:rPr>
        <w:t>8</w:t>
      </w:r>
      <w:r w:rsidR="0090447F" w:rsidRPr="006161A6">
        <w:rPr>
          <w:rFonts w:cs="Calibri"/>
          <w:lang w:val="es-MX"/>
        </w:rPr>
        <w:t xml:space="preserve"> </w:t>
      </w:r>
      <w:r w:rsidR="002F0C48" w:rsidRPr="006161A6">
        <w:rPr>
          <w:rFonts w:cs="Calibri"/>
          <w:lang w:val="es-MX"/>
        </w:rPr>
        <w:t xml:space="preserve">cubren </w:t>
      </w:r>
      <w:r w:rsidR="007016A6">
        <w:rPr>
          <w:rFonts w:cs="Calibri"/>
          <w:lang w:val="es-MX"/>
        </w:rPr>
        <w:t xml:space="preserve">176.68 </w:t>
      </w:r>
      <w:r w:rsidR="002F0C48" w:rsidRPr="006161A6">
        <w:rPr>
          <w:rFonts w:cs="Calibri"/>
          <w:lang w:val="es-MX"/>
        </w:rPr>
        <w:t>veces</w:t>
      </w:r>
      <w:r w:rsidR="009C6716">
        <w:rPr>
          <w:rFonts w:cs="Calibri"/>
          <w:lang w:val="es-MX"/>
        </w:rPr>
        <w:t>.</w:t>
      </w:r>
      <w:r w:rsidR="00A3699F" w:rsidRPr="006161A6">
        <w:rPr>
          <w:rFonts w:cs="Calibri"/>
          <w:lang w:val="es-MX"/>
        </w:rPr>
        <w:t xml:space="preserve"> </w:t>
      </w:r>
      <w:r w:rsidR="00443F62">
        <w:rPr>
          <w:rFonts w:cs="Calibri"/>
          <w:lang w:val="es-MX"/>
        </w:rPr>
        <w:t xml:space="preserve"> </w:t>
      </w:r>
      <w:r w:rsidR="009C6716">
        <w:rPr>
          <w:rFonts w:cs="Calibri"/>
          <w:lang w:val="es-MX"/>
        </w:rPr>
        <w:t xml:space="preserve">La  </w:t>
      </w:r>
      <w:r w:rsidR="00410435">
        <w:rPr>
          <w:rFonts w:cs="Calibri"/>
          <w:lang w:val="es-MX"/>
        </w:rPr>
        <w:t>variación en la razón obedece a que los pasivos a largo plazo disminuyeron con respecto al año 201</w:t>
      </w:r>
      <w:r w:rsidR="007016A6">
        <w:rPr>
          <w:rFonts w:cs="Calibri"/>
          <w:lang w:val="es-MX"/>
        </w:rPr>
        <w:t>8</w:t>
      </w:r>
      <w:r w:rsidR="009C6716">
        <w:rPr>
          <w:rFonts w:cs="Calibri"/>
          <w:lang w:val="es-MX"/>
        </w:rPr>
        <w:t xml:space="preserve">. </w:t>
      </w:r>
    </w:p>
    <w:p w:rsidR="00095F73" w:rsidRDefault="00095F73" w:rsidP="00095F73">
      <w:pPr>
        <w:pStyle w:val="Prrafodelista"/>
        <w:spacing w:after="0"/>
        <w:jc w:val="both"/>
        <w:rPr>
          <w:rFonts w:cs="Calibri"/>
          <w:lang w:val="es-MX"/>
        </w:rPr>
      </w:pPr>
    </w:p>
    <w:p w:rsidR="00C55FB6" w:rsidRDefault="00C55FB6" w:rsidP="00E475D9">
      <w:pPr>
        <w:spacing w:after="0"/>
        <w:jc w:val="both"/>
        <w:rPr>
          <w:rFonts w:cs="Calibri"/>
          <w:lang w:val="es-MX"/>
        </w:rPr>
      </w:pPr>
    </w:p>
    <w:p w:rsidR="009C6716" w:rsidRDefault="00E475D9" w:rsidP="00EE73F0">
      <w:pPr>
        <w:pStyle w:val="Prrafodelista"/>
        <w:numPr>
          <w:ilvl w:val="0"/>
          <w:numId w:val="6"/>
        </w:numPr>
        <w:spacing w:after="0"/>
        <w:ind w:left="426"/>
        <w:jc w:val="both"/>
        <w:rPr>
          <w:rFonts w:cs="Calibri"/>
          <w:b/>
          <w:lang w:val="es-MX"/>
        </w:rPr>
      </w:pPr>
      <w:r w:rsidRPr="00CF6B79">
        <w:rPr>
          <w:rFonts w:cs="Calibri"/>
          <w:b/>
          <w:lang w:val="es-MX"/>
        </w:rPr>
        <w:t xml:space="preserve">Razón de análisis de la deuda o </w:t>
      </w:r>
      <w:r w:rsidR="00830801">
        <w:rPr>
          <w:rFonts w:cs="Calibri"/>
          <w:b/>
          <w:lang w:val="es-MX"/>
        </w:rPr>
        <w:t>a</w:t>
      </w:r>
      <w:r w:rsidRPr="00CF6B79">
        <w:rPr>
          <w:rFonts w:cs="Calibri"/>
          <w:b/>
          <w:lang w:val="es-MX"/>
        </w:rPr>
        <w:t xml:space="preserve">palancamiento </w:t>
      </w:r>
      <w:r w:rsidR="00830801">
        <w:rPr>
          <w:rFonts w:cs="Calibri"/>
          <w:b/>
          <w:lang w:val="es-MX"/>
        </w:rPr>
        <w:t>f</w:t>
      </w:r>
      <w:r w:rsidRPr="00CF6B79">
        <w:rPr>
          <w:rFonts w:cs="Calibri"/>
          <w:b/>
          <w:lang w:val="es-MX"/>
        </w:rPr>
        <w:t>inanciero:</w:t>
      </w:r>
    </w:p>
    <w:p w:rsidR="009C6716" w:rsidRDefault="009C6716" w:rsidP="009C6716">
      <w:pPr>
        <w:spacing w:after="0"/>
        <w:jc w:val="both"/>
        <w:rPr>
          <w:rFonts w:cs="Calibri"/>
          <w:b/>
          <w:lang w:val="es-MX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500"/>
        <w:gridCol w:w="1740"/>
        <w:gridCol w:w="1480"/>
      </w:tblGrid>
      <w:tr w:rsidR="00F76A90" w:rsidRPr="00F76A90" w:rsidTr="00F76A90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6A90" w:rsidRPr="00F76A90" w:rsidRDefault="00F76A90" w:rsidP="00F76A90">
            <w:pPr>
              <w:spacing w:after="0" w:line="240" w:lineRule="auto"/>
              <w:jc w:val="center"/>
              <w:rPr>
                <w:color w:val="000000"/>
              </w:rPr>
            </w:pPr>
            <w:r w:rsidRPr="00F76A90">
              <w:rPr>
                <w:color w:val="000000"/>
              </w:rPr>
              <w:t>Descripción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99"/>
            <w:noWrap/>
            <w:vAlign w:val="bottom"/>
            <w:hideMark/>
          </w:tcPr>
          <w:p w:rsidR="00F76A90" w:rsidRPr="00F76A90" w:rsidRDefault="00F76A90" w:rsidP="00F76A90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76A90">
              <w:rPr>
                <w:b/>
                <w:bCs/>
                <w:color w:val="FFFFFF"/>
              </w:rPr>
              <w:t>Marzo 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99"/>
            <w:noWrap/>
            <w:vAlign w:val="bottom"/>
            <w:hideMark/>
          </w:tcPr>
          <w:p w:rsidR="00F76A90" w:rsidRPr="00F76A90" w:rsidRDefault="00F76A90" w:rsidP="00F76A90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F76A90">
              <w:rPr>
                <w:b/>
                <w:bCs/>
                <w:color w:val="FFFFFF"/>
              </w:rPr>
              <w:t>Marzo 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90" w:rsidRPr="00F76A90" w:rsidRDefault="00F76A90" w:rsidP="00F76A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6A90">
              <w:rPr>
                <w:color w:val="000000"/>
                <w:sz w:val="20"/>
                <w:szCs w:val="20"/>
              </w:rPr>
              <w:t>Promedio</w:t>
            </w:r>
          </w:p>
        </w:tc>
      </w:tr>
      <w:tr w:rsidR="00F76A90" w:rsidRPr="00F76A90" w:rsidTr="00F76A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99"/>
            <w:noWrap/>
            <w:vAlign w:val="bottom"/>
            <w:hideMark/>
          </w:tcPr>
          <w:p w:rsidR="00F76A90" w:rsidRPr="00F76A90" w:rsidRDefault="00F76A90" w:rsidP="00F76A90">
            <w:pPr>
              <w:spacing w:after="0" w:line="240" w:lineRule="auto"/>
              <w:rPr>
                <w:color w:val="FFFFFF"/>
              </w:rPr>
            </w:pPr>
            <w:r w:rsidRPr="00F76A90">
              <w:rPr>
                <w:color w:val="FFFFFF"/>
              </w:rPr>
              <w:t>2. Análisis de la deuda: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90" w:rsidRPr="00F76A90" w:rsidRDefault="00F76A90" w:rsidP="00F76A90">
            <w:pPr>
              <w:spacing w:after="0" w:line="240" w:lineRule="auto"/>
              <w:rPr>
                <w:color w:val="000000"/>
              </w:rPr>
            </w:pPr>
            <w:r w:rsidRPr="00F76A90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90" w:rsidRPr="00F76A90" w:rsidRDefault="00F76A90" w:rsidP="00F76A90">
            <w:pPr>
              <w:spacing w:after="0" w:line="240" w:lineRule="auto"/>
              <w:rPr>
                <w:color w:val="000000"/>
              </w:rPr>
            </w:pPr>
            <w:r w:rsidRPr="00F76A90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90" w:rsidRPr="00F76A90" w:rsidRDefault="00F76A90" w:rsidP="00F76A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6A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6A90" w:rsidRPr="00F76A90" w:rsidTr="00F76A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6A90" w:rsidRPr="00F76A90" w:rsidRDefault="00F76A90" w:rsidP="00F76A90">
            <w:pPr>
              <w:spacing w:after="0" w:line="240" w:lineRule="auto"/>
              <w:rPr>
                <w:color w:val="000000"/>
              </w:rPr>
            </w:pPr>
            <w:r w:rsidRPr="00F76A90">
              <w:rPr>
                <w:color w:val="000000"/>
              </w:rPr>
              <w:t>Razón de deuda (endeudamiento)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6A90" w:rsidRPr="00F76A90" w:rsidRDefault="00F76A90" w:rsidP="00F76A90">
            <w:pPr>
              <w:spacing w:after="0" w:line="240" w:lineRule="auto"/>
              <w:jc w:val="right"/>
              <w:rPr>
                <w:color w:val="000000"/>
              </w:rPr>
            </w:pPr>
            <w:r w:rsidRPr="00F76A90">
              <w:rPr>
                <w:color w:val="000000"/>
              </w:rPr>
              <w:t>6,43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76A90" w:rsidRPr="00F76A90" w:rsidRDefault="00F76A90" w:rsidP="00F76A90">
            <w:pPr>
              <w:spacing w:after="0" w:line="240" w:lineRule="auto"/>
              <w:jc w:val="right"/>
              <w:rPr>
                <w:color w:val="000000"/>
              </w:rPr>
            </w:pPr>
            <w:r w:rsidRPr="00F76A90">
              <w:rPr>
                <w:color w:val="000000"/>
              </w:rPr>
              <w:t>8,34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90" w:rsidRPr="00F76A90" w:rsidRDefault="00F76A90" w:rsidP="00F76A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6A90">
              <w:rPr>
                <w:color w:val="000000"/>
                <w:sz w:val="20"/>
                <w:szCs w:val="20"/>
              </w:rPr>
              <w:t>7,38</w:t>
            </w:r>
          </w:p>
        </w:tc>
      </w:tr>
      <w:tr w:rsidR="00F76A90" w:rsidRPr="00F76A90" w:rsidTr="00F76A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A90" w:rsidRPr="00F76A90" w:rsidRDefault="00F76A90" w:rsidP="00F76A90">
            <w:pPr>
              <w:spacing w:after="0" w:line="240" w:lineRule="auto"/>
              <w:rPr>
                <w:color w:val="000000"/>
              </w:rPr>
            </w:pPr>
            <w:r w:rsidRPr="00F76A90">
              <w:rPr>
                <w:color w:val="000000"/>
              </w:rPr>
              <w:t>Razón de capacidad de pago de intereses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90" w:rsidRPr="00F76A90" w:rsidRDefault="00F76A90" w:rsidP="00F76A90">
            <w:pPr>
              <w:spacing w:after="0" w:line="240" w:lineRule="auto"/>
              <w:jc w:val="right"/>
              <w:rPr>
                <w:color w:val="000000"/>
              </w:rPr>
            </w:pPr>
            <w:r w:rsidRPr="00F76A90">
              <w:rPr>
                <w:color w:val="000000"/>
              </w:rPr>
              <w:t>673,29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90" w:rsidRPr="00F76A90" w:rsidRDefault="00F76A90" w:rsidP="00F76A90">
            <w:pPr>
              <w:spacing w:after="0" w:line="240" w:lineRule="auto"/>
              <w:jc w:val="right"/>
              <w:rPr>
                <w:color w:val="000000"/>
              </w:rPr>
            </w:pPr>
            <w:r w:rsidRPr="00F76A90">
              <w:rPr>
                <w:color w:val="000000"/>
              </w:rPr>
              <w:t>2.284,43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90" w:rsidRPr="00F76A90" w:rsidRDefault="00F76A90" w:rsidP="00F76A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6A90">
              <w:rPr>
                <w:color w:val="000000"/>
                <w:sz w:val="20"/>
                <w:szCs w:val="20"/>
              </w:rPr>
              <w:t>1.478,86</w:t>
            </w:r>
          </w:p>
        </w:tc>
      </w:tr>
    </w:tbl>
    <w:p w:rsidR="00E475D9" w:rsidRPr="009C6716" w:rsidRDefault="00E475D9" w:rsidP="009C6716">
      <w:pPr>
        <w:spacing w:after="0"/>
        <w:jc w:val="both"/>
        <w:rPr>
          <w:rFonts w:cs="Calibri"/>
          <w:b/>
          <w:lang w:val="es-MX"/>
        </w:rPr>
      </w:pPr>
      <w:bookmarkStart w:id="0" w:name="_GoBack"/>
      <w:bookmarkEnd w:id="0"/>
      <w:r w:rsidRPr="009C6716">
        <w:rPr>
          <w:rFonts w:cs="Calibri"/>
          <w:b/>
          <w:lang w:val="es-MX"/>
        </w:rPr>
        <w:t xml:space="preserve"> </w:t>
      </w:r>
    </w:p>
    <w:p w:rsidR="006B0980" w:rsidRDefault="006B0980" w:rsidP="006B0980">
      <w:pPr>
        <w:pStyle w:val="Prrafodelista"/>
        <w:spacing w:after="0"/>
        <w:ind w:left="426"/>
        <w:jc w:val="both"/>
        <w:rPr>
          <w:rFonts w:cs="Calibri"/>
          <w:b/>
          <w:lang w:val="es-MX"/>
        </w:rPr>
      </w:pPr>
    </w:p>
    <w:p w:rsidR="00631312" w:rsidRDefault="00E475D9" w:rsidP="002A7BE5">
      <w:pPr>
        <w:pStyle w:val="Prrafodelista"/>
        <w:numPr>
          <w:ilvl w:val="1"/>
          <w:numId w:val="3"/>
        </w:numPr>
        <w:spacing w:after="0" w:line="240" w:lineRule="auto"/>
        <w:ind w:left="426"/>
        <w:jc w:val="both"/>
        <w:rPr>
          <w:rFonts w:cs="Calibri"/>
          <w:lang w:val="es-MX"/>
        </w:rPr>
      </w:pPr>
      <w:r w:rsidRPr="001C52CA">
        <w:rPr>
          <w:rFonts w:cs="Calibri"/>
          <w:lang w:val="es-MX"/>
        </w:rPr>
        <w:t xml:space="preserve">Razón de deuda: esta razón financiera es llamada también endeudamiento y muestra el porcentaje de endeudamiento, en otros términos cuanto representan los pasivos totales (obligaciones) sobre los activos totales, en este caso se puede observar que </w:t>
      </w:r>
      <w:r w:rsidR="00AD4967" w:rsidRPr="001C52CA">
        <w:rPr>
          <w:rFonts w:cs="Calibri"/>
          <w:i/>
          <w:lang w:val="es-MX"/>
        </w:rPr>
        <w:t xml:space="preserve">el promedio de endeudamiento de los últimos </w:t>
      </w:r>
      <w:r w:rsidR="009F3F9C">
        <w:rPr>
          <w:rFonts w:cs="Calibri"/>
          <w:i/>
          <w:lang w:val="es-MX"/>
        </w:rPr>
        <w:t>2</w:t>
      </w:r>
      <w:r w:rsidR="00AD4967" w:rsidRPr="001C52CA">
        <w:rPr>
          <w:rFonts w:cs="Calibri"/>
          <w:i/>
          <w:lang w:val="es-MX"/>
        </w:rPr>
        <w:t xml:space="preserve"> </w:t>
      </w:r>
      <w:r w:rsidR="0090447F">
        <w:rPr>
          <w:rFonts w:cs="Calibri"/>
          <w:i/>
          <w:lang w:val="es-MX"/>
        </w:rPr>
        <w:t xml:space="preserve">períodos a evaluar </w:t>
      </w:r>
      <w:r w:rsidR="00AD4967" w:rsidRPr="001C52CA">
        <w:rPr>
          <w:rFonts w:cs="Calibri"/>
          <w:i/>
          <w:lang w:val="es-MX"/>
        </w:rPr>
        <w:t xml:space="preserve"> es de </w:t>
      </w:r>
      <w:r w:rsidR="005B3C8F">
        <w:rPr>
          <w:rFonts w:cs="Calibri"/>
          <w:i/>
          <w:lang w:val="es-MX"/>
        </w:rPr>
        <w:t>7,38</w:t>
      </w:r>
      <w:r w:rsidR="00AD4967" w:rsidRPr="001C52CA">
        <w:rPr>
          <w:rFonts w:cs="Calibri"/>
          <w:i/>
          <w:lang w:val="es-MX"/>
        </w:rPr>
        <w:t>%</w:t>
      </w:r>
      <w:r w:rsidR="00702DFE" w:rsidRPr="001C52CA">
        <w:rPr>
          <w:rFonts w:cs="Calibri"/>
          <w:lang w:val="es-MX"/>
        </w:rPr>
        <w:t xml:space="preserve">, </w:t>
      </w:r>
      <w:r w:rsidRPr="001C52CA">
        <w:rPr>
          <w:rFonts w:cs="Calibri"/>
          <w:lang w:val="es-MX"/>
        </w:rPr>
        <w:t>esto se demuestra</w:t>
      </w:r>
      <w:r w:rsidR="00F83252" w:rsidRPr="001C52CA">
        <w:rPr>
          <w:rFonts w:cs="Calibri"/>
          <w:lang w:val="es-MX"/>
        </w:rPr>
        <w:t xml:space="preserve"> mencionando que </w:t>
      </w:r>
      <w:r w:rsidRPr="001C52CA">
        <w:rPr>
          <w:rFonts w:cs="Calibri"/>
          <w:lang w:val="es-MX"/>
        </w:rPr>
        <w:t xml:space="preserve">  </w:t>
      </w:r>
      <w:r w:rsidR="003E14AB" w:rsidRPr="001C52CA">
        <w:rPr>
          <w:rFonts w:cs="Calibri"/>
          <w:lang w:val="es-MX"/>
        </w:rPr>
        <w:t xml:space="preserve">para </w:t>
      </w:r>
      <w:r w:rsidR="005B3C8F">
        <w:rPr>
          <w:rFonts w:cs="Calibri"/>
          <w:lang w:val="es-MX"/>
        </w:rPr>
        <w:t xml:space="preserve">marzo </w:t>
      </w:r>
      <w:r w:rsidR="0090447F">
        <w:rPr>
          <w:rFonts w:cs="Calibri"/>
          <w:lang w:val="es-MX"/>
        </w:rPr>
        <w:t xml:space="preserve"> 201</w:t>
      </w:r>
      <w:r w:rsidR="005B3C8F">
        <w:rPr>
          <w:rFonts w:cs="Calibri"/>
          <w:lang w:val="es-MX"/>
        </w:rPr>
        <w:t>9</w:t>
      </w:r>
      <w:r w:rsidR="00714944">
        <w:rPr>
          <w:rFonts w:cs="Calibri"/>
          <w:lang w:val="es-MX"/>
        </w:rPr>
        <w:t xml:space="preserve"> es de </w:t>
      </w:r>
      <w:r w:rsidR="005B3C8F">
        <w:rPr>
          <w:rFonts w:cs="Calibri"/>
          <w:lang w:val="es-MX"/>
        </w:rPr>
        <w:t>6,43</w:t>
      </w:r>
      <w:r w:rsidR="00714944">
        <w:rPr>
          <w:rFonts w:cs="Calibri"/>
          <w:lang w:val="es-MX"/>
        </w:rPr>
        <w:t>%</w:t>
      </w:r>
      <w:r w:rsidR="001C52CA" w:rsidRPr="001C52CA">
        <w:rPr>
          <w:rFonts w:cs="Calibri"/>
          <w:lang w:val="es-MX"/>
        </w:rPr>
        <w:t xml:space="preserve"> </w:t>
      </w:r>
      <w:r w:rsidR="00424985">
        <w:rPr>
          <w:rFonts w:cs="Calibri"/>
          <w:lang w:val="es-MX"/>
        </w:rPr>
        <w:t xml:space="preserve"> y para el</w:t>
      </w:r>
      <w:r w:rsidR="00714944">
        <w:rPr>
          <w:rFonts w:cs="Calibri"/>
          <w:lang w:val="es-MX"/>
        </w:rPr>
        <w:t xml:space="preserve"> cierre </w:t>
      </w:r>
      <w:r w:rsidR="00424985">
        <w:rPr>
          <w:rFonts w:cs="Calibri"/>
          <w:lang w:val="es-MX"/>
        </w:rPr>
        <w:t xml:space="preserve"> año 201</w:t>
      </w:r>
      <w:r w:rsidR="005B3C8F">
        <w:rPr>
          <w:rFonts w:cs="Calibri"/>
          <w:lang w:val="es-MX"/>
        </w:rPr>
        <w:t>8</w:t>
      </w:r>
      <w:r w:rsidR="00424985">
        <w:rPr>
          <w:rFonts w:cs="Calibri"/>
          <w:lang w:val="es-MX"/>
        </w:rPr>
        <w:t xml:space="preserve"> es de </w:t>
      </w:r>
      <w:r w:rsidR="0090447F">
        <w:rPr>
          <w:rFonts w:cs="Calibri"/>
          <w:lang w:val="es-MX"/>
        </w:rPr>
        <w:t>8.</w:t>
      </w:r>
      <w:r w:rsidR="005B3C8F">
        <w:rPr>
          <w:rFonts w:cs="Calibri"/>
          <w:lang w:val="es-MX"/>
        </w:rPr>
        <w:t>3</w:t>
      </w:r>
      <w:r w:rsidR="0090447F">
        <w:rPr>
          <w:rFonts w:cs="Calibri"/>
          <w:lang w:val="es-MX"/>
        </w:rPr>
        <w:t>4</w:t>
      </w:r>
      <w:r w:rsidR="00424985">
        <w:rPr>
          <w:rFonts w:cs="Calibri"/>
          <w:lang w:val="es-MX"/>
        </w:rPr>
        <w:t>%</w:t>
      </w:r>
    </w:p>
    <w:p w:rsidR="001C52CA" w:rsidRPr="001C52CA" w:rsidRDefault="001C52CA" w:rsidP="002A7BE5">
      <w:pPr>
        <w:pStyle w:val="Prrafodelista"/>
        <w:spacing w:after="0" w:line="240" w:lineRule="auto"/>
        <w:ind w:left="426"/>
        <w:jc w:val="both"/>
        <w:rPr>
          <w:rFonts w:cs="Calibri"/>
          <w:lang w:val="es-MX"/>
        </w:rPr>
      </w:pPr>
    </w:p>
    <w:p w:rsidR="000E39C4" w:rsidRDefault="00E475D9" w:rsidP="000E39C4">
      <w:pPr>
        <w:pStyle w:val="Prrafodelista"/>
        <w:numPr>
          <w:ilvl w:val="1"/>
          <w:numId w:val="3"/>
        </w:numPr>
        <w:spacing w:after="0" w:line="240" w:lineRule="auto"/>
        <w:ind w:left="426"/>
        <w:jc w:val="both"/>
        <w:rPr>
          <w:rFonts w:cs="Calibri"/>
          <w:lang w:val="es-MX"/>
        </w:rPr>
      </w:pPr>
      <w:r w:rsidRPr="0057588E">
        <w:rPr>
          <w:rFonts w:cs="Calibri"/>
          <w:color w:val="FF0000"/>
          <w:lang w:val="es-MX"/>
        </w:rPr>
        <w:t xml:space="preserve"> </w:t>
      </w:r>
      <w:r w:rsidRPr="007F5209">
        <w:rPr>
          <w:rFonts w:cs="Calibri"/>
          <w:lang w:val="es-MX"/>
        </w:rPr>
        <w:t>Los pasivos</w:t>
      </w:r>
      <w:r w:rsidRPr="0057588E">
        <w:rPr>
          <w:rFonts w:cs="Calibri"/>
          <w:color w:val="FF0000"/>
          <w:lang w:val="es-MX"/>
        </w:rPr>
        <w:t xml:space="preserve"> </w:t>
      </w:r>
      <w:r w:rsidRPr="00CF6B79">
        <w:rPr>
          <w:rFonts w:cs="Calibri"/>
          <w:lang w:val="es-MX"/>
        </w:rPr>
        <w:t xml:space="preserve">totales </w:t>
      </w:r>
      <w:r w:rsidR="005B786D">
        <w:rPr>
          <w:rFonts w:cs="Calibri"/>
          <w:lang w:val="es-MX"/>
        </w:rPr>
        <w:t xml:space="preserve"> </w:t>
      </w:r>
      <w:r w:rsidR="005B3C8F">
        <w:rPr>
          <w:rFonts w:cs="Calibri"/>
          <w:lang w:val="es-MX"/>
        </w:rPr>
        <w:t>disminuyeron</w:t>
      </w:r>
      <w:r w:rsidR="005B786D">
        <w:rPr>
          <w:rFonts w:cs="Calibri"/>
          <w:lang w:val="es-MX"/>
        </w:rPr>
        <w:t xml:space="preserve"> </w:t>
      </w:r>
      <w:r w:rsidR="00B279C1">
        <w:rPr>
          <w:rFonts w:cs="Calibri"/>
          <w:lang w:val="es-MX"/>
        </w:rPr>
        <w:t xml:space="preserve"> </w:t>
      </w:r>
      <w:r w:rsidR="008D1465">
        <w:rPr>
          <w:rFonts w:cs="Calibri"/>
          <w:lang w:val="es-MX"/>
        </w:rPr>
        <w:t xml:space="preserve">en </w:t>
      </w:r>
      <w:r w:rsidR="005B3C8F">
        <w:rPr>
          <w:rFonts w:cs="Calibri"/>
          <w:lang w:val="es-MX"/>
        </w:rPr>
        <w:t>marzo</w:t>
      </w:r>
      <w:r w:rsidR="008D1465">
        <w:rPr>
          <w:rFonts w:cs="Calibri"/>
          <w:lang w:val="es-MX"/>
        </w:rPr>
        <w:t xml:space="preserve"> 201</w:t>
      </w:r>
      <w:r w:rsidR="005B3C8F">
        <w:rPr>
          <w:rFonts w:cs="Calibri"/>
          <w:lang w:val="es-MX"/>
        </w:rPr>
        <w:t>9</w:t>
      </w:r>
      <w:r w:rsidR="008D1465">
        <w:rPr>
          <w:rFonts w:cs="Calibri"/>
          <w:lang w:val="es-MX"/>
        </w:rPr>
        <w:t xml:space="preserve"> en un </w:t>
      </w:r>
      <w:r w:rsidR="005B3C8F">
        <w:rPr>
          <w:rFonts w:cs="Calibri"/>
          <w:lang w:val="es-MX"/>
        </w:rPr>
        <w:t>17,15</w:t>
      </w:r>
      <w:r w:rsidR="008D1465">
        <w:rPr>
          <w:rFonts w:cs="Calibri"/>
          <w:lang w:val="es-MX"/>
        </w:rPr>
        <w:t>% con respecto al mes de diciembre 201</w:t>
      </w:r>
      <w:r w:rsidR="005B3C8F">
        <w:rPr>
          <w:rFonts w:cs="Calibri"/>
          <w:lang w:val="es-MX"/>
        </w:rPr>
        <w:t>8</w:t>
      </w:r>
      <w:r w:rsidR="00506A71">
        <w:rPr>
          <w:rFonts w:cs="Calibri"/>
          <w:lang w:val="es-MX"/>
        </w:rPr>
        <w:t>.</w:t>
      </w:r>
    </w:p>
    <w:p w:rsidR="000E39C4" w:rsidRPr="000E39C4" w:rsidRDefault="000E39C4" w:rsidP="000E39C4">
      <w:pPr>
        <w:pStyle w:val="Prrafodelista"/>
        <w:rPr>
          <w:rFonts w:cs="Calibri"/>
          <w:lang w:val="es-MX"/>
        </w:rPr>
      </w:pPr>
    </w:p>
    <w:p w:rsidR="00E475D9" w:rsidRPr="00CF6B79" w:rsidRDefault="005B786D" w:rsidP="000E39C4">
      <w:pPr>
        <w:pStyle w:val="Prrafodelista"/>
        <w:numPr>
          <w:ilvl w:val="1"/>
          <w:numId w:val="3"/>
        </w:numPr>
        <w:spacing w:after="0" w:line="240" w:lineRule="auto"/>
        <w:ind w:left="426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>E</w:t>
      </w:r>
      <w:r w:rsidR="00E475D9" w:rsidRPr="000E2D11">
        <w:rPr>
          <w:rFonts w:cs="Calibri"/>
          <w:lang w:val="es-MX"/>
        </w:rPr>
        <w:t xml:space="preserve">s importante indicar que la Universidad tiene un nivel de endeudamiento muy </w:t>
      </w:r>
      <w:r w:rsidR="00B279C1">
        <w:rPr>
          <w:rFonts w:cs="Calibri"/>
          <w:lang w:val="es-MX"/>
        </w:rPr>
        <w:t>bajo</w:t>
      </w:r>
      <w:r w:rsidR="00E475D9" w:rsidRPr="000E2D11">
        <w:rPr>
          <w:rFonts w:cs="Calibri"/>
          <w:lang w:val="es-MX"/>
        </w:rPr>
        <w:t xml:space="preserve"> </w:t>
      </w:r>
      <w:r w:rsidR="00B279C1">
        <w:rPr>
          <w:rFonts w:cs="Calibri"/>
          <w:lang w:val="es-MX"/>
        </w:rPr>
        <w:t xml:space="preserve">y </w:t>
      </w:r>
      <w:r w:rsidR="00E475D9" w:rsidRPr="000E2D11">
        <w:rPr>
          <w:rFonts w:cs="Calibri"/>
          <w:lang w:val="es-MX"/>
        </w:rPr>
        <w:t xml:space="preserve"> tiene </w:t>
      </w:r>
      <w:r w:rsidR="00B279C1">
        <w:rPr>
          <w:rFonts w:cs="Calibri"/>
          <w:lang w:val="es-MX"/>
        </w:rPr>
        <w:t xml:space="preserve">una </w:t>
      </w:r>
      <w:r w:rsidR="00E475D9" w:rsidRPr="000E2D11">
        <w:rPr>
          <w:rFonts w:cs="Calibri"/>
          <w:lang w:val="es-MX"/>
        </w:rPr>
        <w:t xml:space="preserve"> la </w:t>
      </w:r>
      <w:r w:rsidR="00D40061">
        <w:rPr>
          <w:rFonts w:cs="Calibri"/>
          <w:lang w:val="es-MX"/>
        </w:rPr>
        <w:t xml:space="preserve">capacidad </w:t>
      </w:r>
      <w:r w:rsidR="00E475D9" w:rsidRPr="00CF6B79">
        <w:rPr>
          <w:rFonts w:cs="Calibri"/>
          <w:lang w:val="es-MX"/>
        </w:rPr>
        <w:t xml:space="preserve"> de cubrir cualquier obligación con sus activos restantes; sin embargo, se hace la aclaración que estos recursos no son disponibles de inmediato</w:t>
      </w:r>
      <w:r w:rsidR="00E475D9">
        <w:rPr>
          <w:rFonts w:cs="Calibri"/>
          <w:lang w:val="es-MX"/>
        </w:rPr>
        <w:t>, asimismo, la particularidad que tiene este tipo de institución que trabaja con un presupuesto que es distribuido para el us</w:t>
      </w:r>
      <w:r w:rsidR="00D40061">
        <w:rPr>
          <w:rFonts w:cs="Calibri"/>
          <w:lang w:val="es-MX"/>
        </w:rPr>
        <w:t xml:space="preserve">o de las unidades ejecutoras, </w:t>
      </w:r>
      <w:r w:rsidR="00E475D9">
        <w:rPr>
          <w:rFonts w:cs="Calibri"/>
          <w:lang w:val="es-MX"/>
        </w:rPr>
        <w:t xml:space="preserve"> con financiamientos importantes y en especial en las partidas laborales, por lo que el margen de maniobra debe ser analizado antes de tomar decisiones de esta naturaleza.</w:t>
      </w:r>
    </w:p>
    <w:p w:rsidR="00E475D9" w:rsidRPr="00CF6B79" w:rsidRDefault="00E475D9" w:rsidP="00E475D9">
      <w:pPr>
        <w:pStyle w:val="Prrafodelista"/>
        <w:spacing w:after="0"/>
        <w:ind w:left="426"/>
        <w:jc w:val="both"/>
        <w:rPr>
          <w:rFonts w:cs="Calibri"/>
          <w:lang w:val="es-MX"/>
        </w:rPr>
      </w:pPr>
    </w:p>
    <w:p w:rsidR="003B78FC" w:rsidRPr="000E39C4" w:rsidRDefault="00E475D9" w:rsidP="0003312D">
      <w:pPr>
        <w:pStyle w:val="Prrafodelista"/>
        <w:numPr>
          <w:ilvl w:val="1"/>
          <w:numId w:val="3"/>
        </w:numPr>
        <w:spacing w:after="0" w:line="240" w:lineRule="auto"/>
        <w:ind w:left="426"/>
        <w:jc w:val="both"/>
        <w:rPr>
          <w:rFonts w:cs="Calibri"/>
          <w:lang w:val="es-MX"/>
        </w:rPr>
      </w:pPr>
      <w:r w:rsidRPr="000E39C4">
        <w:rPr>
          <w:rFonts w:cs="Calibri"/>
          <w:lang w:val="es-MX"/>
        </w:rPr>
        <w:t xml:space="preserve">Razón de capacidad de pago de intereses y comisiones: esta razón muestra </w:t>
      </w:r>
      <w:r w:rsidR="00077365" w:rsidRPr="000E39C4">
        <w:rPr>
          <w:rFonts w:cs="Calibri"/>
          <w:lang w:val="es-MX"/>
        </w:rPr>
        <w:t xml:space="preserve">las posibilidades </w:t>
      </w:r>
      <w:r w:rsidRPr="000E39C4">
        <w:rPr>
          <w:rFonts w:cs="Calibri"/>
          <w:lang w:val="es-MX"/>
        </w:rPr>
        <w:t xml:space="preserve"> que la entidad con sus utilidades logr</w:t>
      </w:r>
      <w:r w:rsidR="006516B3" w:rsidRPr="000E39C4">
        <w:rPr>
          <w:rFonts w:cs="Calibri"/>
          <w:lang w:val="es-MX"/>
        </w:rPr>
        <w:t>e</w:t>
      </w:r>
      <w:r w:rsidRPr="000E39C4">
        <w:rPr>
          <w:rFonts w:cs="Calibri"/>
          <w:lang w:val="es-MX"/>
        </w:rPr>
        <w:t xml:space="preserve"> cubrir los pagos de intereses y comision</w:t>
      </w:r>
      <w:r w:rsidR="005C1893" w:rsidRPr="000E39C4">
        <w:rPr>
          <w:rFonts w:cs="Calibri"/>
          <w:lang w:val="es-MX"/>
        </w:rPr>
        <w:t xml:space="preserve">es, en ese sentido para </w:t>
      </w:r>
      <w:r w:rsidR="00C46F28" w:rsidRPr="000E39C4">
        <w:rPr>
          <w:rFonts w:cs="Calibri"/>
          <w:lang w:val="es-MX"/>
        </w:rPr>
        <w:t>el</w:t>
      </w:r>
      <w:r w:rsidR="005C1893" w:rsidRPr="000E39C4">
        <w:rPr>
          <w:rFonts w:cs="Calibri"/>
          <w:lang w:val="es-MX"/>
        </w:rPr>
        <w:t xml:space="preserve"> </w:t>
      </w:r>
      <w:r w:rsidR="00C46F28" w:rsidRPr="000E39C4">
        <w:rPr>
          <w:rFonts w:cs="Calibri"/>
          <w:lang w:val="es-MX"/>
        </w:rPr>
        <w:t>mes</w:t>
      </w:r>
      <w:r w:rsidR="00CD2D61" w:rsidRPr="000E39C4">
        <w:rPr>
          <w:rFonts w:cs="Calibri"/>
          <w:lang w:val="es-MX"/>
        </w:rPr>
        <w:t xml:space="preserve"> de</w:t>
      </w:r>
      <w:r w:rsidR="005C1893" w:rsidRPr="000E39C4">
        <w:rPr>
          <w:rFonts w:cs="Calibri"/>
          <w:lang w:val="es-MX"/>
        </w:rPr>
        <w:t xml:space="preserve"> </w:t>
      </w:r>
      <w:r w:rsidR="00590F04">
        <w:rPr>
          <w:rFonts w:cs="Calibri"/>
          <w:lang w:val="es-MX"/>
        </w:rPr>
        <w:t xml:space="preserve">marzo </w:t>
      </w:r>
      <w:r w:rsidR="00C02C52">
        <w:rPr>
          <w:rFonts w:cs="Calibri"/>
          <w:lang w:val="es-MX"/>
        </w:rPr>
        <w:t>2019</w:t>
      </w:r>
      <w:r w:rsidR="005C1893" w:rsidRPr="000E39C4">
        <w:rPr>
          <w:rFonts w:cs="Calibri"/>
          <w:lang w:val="es-MX"/>
        </w:rPr>
        <w:t xml:space="preserve"> es de </w:t>
      </w:r>
      <w:r w:rsidR="00C02C52">
        <w:rPr>
          <w:rFonts w:cs="Calibri"/>
          <w:lang w:val="es-MX"/>
        </w:rPr>
        <w:t>673,29</w:t>
      </w:r>
      <w:r w:rsidR="003F79E8" w:rsidRPr="000E39C4">
        <w:rPr>
          <w:rFonts w:cs="Calibri"/>
          <w:lang w:val="es-MX"/>
        </w:rPr>
        <w:t>,</w:t>
      </w:r>
      <w:r w:rsidR="00BD2458" w:rsidRPr="000E39C4">
        <w:rPr>
          <w:rFonts w:cs="Calibri"/>
          <w:lang w:val="es-MX"/>
        </w:rPr>
        <w:t xml:space="preserve"> </w:t>
      </w:r>
      <w:r w:rsidR="007942DB" w:rsidRPr="000E39C4">
        <w:rPr>
          <w:rFonts w:cs="Calibri"/>
          <w:lang w:val="es-MX"/>
        </w:rPr>
        <w:t xml:space="preserve"> </w:t>
      </w:r>
      <w:r w:rsidRPr="000E39C4">
        <w:rPr>
          <w:rFonts w:cs="Calibri"/>
          <w:lang w:val="es-MX"/>
        </w:rPr>
        <w:t>esto muestra el comportamiento que ha alcanzado las utilidades antes de intereses y comisiones</w:t>
      </w:r>
      <w:r w:rsidR="006D04DF" w:rsidRPr="000E39C4">
        <w:rPr>
          <w:rFonts w:cs="Calibri"/>
          <w:lang w:val="es-MX"/>
        </w:rPr>
        <w:t>.</w:t>
      </w:r>
      <w:r w:rsidR="00697206" w:rsidRPr="000E39C4">
        <w:rPr>
          <w:rFonts w:cs="Calibri"/>
          <w:lang w:val="es-MX"/>
        </w:rPr>
        <w:t xml:space="preserve"> </w:t>
      </w:r>
      <w:r w:rsidR="00627B6B" w:rsidRPr="000E39C4">
        <w:rPr>
          <w:rFonts w:cs="Calibri"/>
          <w:lang w:val="es-MX"/>
        </w:rPr>
        <w:t xml:space="preserve"> </w:t>
      </w:r>
      <w:r w:rsidR="00212109" w:rsidRPr="000E39C4">
        <w:rPr>
          <w:rFonts w:cs="Calibri"/>
          <w:lang w:val="es-MX"/>
        </w:rPr>
        <w:t xml:space="preserve"> </w:t>
      </w:r>
      <w:r w:rsidR="00697206" w:rsidRPr="000E39C4">
        <w:rPr>
          <w:rFonts w:cs="Calibri"/>
          <w:i/>
          <w:lang w:val="es-MX"/>
        </w:rPr>
        <w:t>Si es import</w:t>
      </w:r>
      <w:r w:rsidR="000E2F0B" w:rsidRPr="000E39C4">
        <w:rPr>
          <w:rFonts w:cs="Calibri"/>
          <w:i/>
          <w:lang w:val="es-MX"/>
        </w:rPr>
        <w:t xml:space="preserve">ante destacar que el promedio de </w:t>
      </w:r>
      <w:r w:rsidR="00697206" w:rsidRPr="000E39C4">
        <w:rPr>
          <w:rFonts w:cs="Calibri"/>
          <w:i/>
          <w:lang w:val="es-MX"/>
        </w:rPr>
        <w:t xml:space="preserve"> los últimos </w:t>
      </w:r>
      <w:r w:rsidR="00A73409" w:rsidRPr="000E39C4">
        <w:rPr>
          <w:rFonts w:cs="Calibri"/>
          <w:i/>
          <w:lang w:val="es-MX"/>
        </w:rPr>
        <w:t>2</w:t>
      </w:r>
      <w:r w:rsidR="00697206" w:rsidRPr="000E39C4">
        <w:rPr>
          <w:rFonts w:cs="Calibri"/>
          <w:i/>
          <w:lang w:val="es-MX"/>
        </w:rPr>
        <w:t xml:space="preserve"> </w:t>
      </w:r>
      <w:r w:rsidR="0090447F" w:rsidRPr="000E39C4">
        <w:rPr>
          <w:rFonts w:cs="Calibri"/>
          <w:i/>
          <w:lang w:val="es-MX"/>
        </w:rPr>
        <w:t>períodos a evaluar</w:t>
      </w:r>
      <w:r w:rsidR="00697206" w:rsidRPr="000E39C4">
        <w:rPr>
          <w:rFonts w:cs="Calibri"/>
          <w:i/>
          <w:lang w:val="es-MX"/>
        </w:rPr>
        <w:t xml:space="preserve"> </w:t>
      </w:r>
      <w:r w:rsidR="00212109" w:rsidRPr="000E39C4">
        <w:rPr>
          <w:rFonts w:cs="Calibri"/>
          <w:i/>
          <w:lang w:val="es-MX"/>
        </w:rPr>
        <w:t xml:space="preserve"> </w:t>
      </w:r>
      <w:r w:rsidR="001A1008" w:rsidRPr="000E39C4">
        <w:rPr>
          <w:rFonts w:cs="Calibri"/>
          <w:i/>
          <w:lang w:val="es-MX"/>
        </w:rPr>
        <w:t>es</w:t>
      </w:r>
      <w:r w:rsidR="000E2F0B" w:rsidRPr="000E39C4">
        <w:rPr>
          <w:rFonts w:cs="Calibri"/>
          <w:i/>
          <w:lang w:val="es-MX"/>
        </w:rPr>
        <w:t xml:space="preserve"> de </w:t>
      </w:r>
      <w:r w:rsidR="00C02C52">
        <w:rPr>
          <w:rFonts w:cs="Calibri"/>
          <w:i/>
          <w:lang w:val="es-MX"/>
        </w:rPr>
        <w:t>1.478,86</w:t>
      </w:r>
      <w:r w:rsidRPr="000E39C4">
        <w:rPr>
          <w:rFonts w:cs="Calibri"/>
          <w:i/>
          <w:lang w:val="es-MX"/>
        </w:rPr>
        <w:t xml:space="preserve"> veces</w:t>
      </w:r>
      <w:r w:rsidRPr="000E39C4">
        <w:rPr>
          <w:rFonts w:cs="Calibri"/>
          <w:lang w:val="es-MX"/>
        </w:rPr>
        <w:t xml:space="preserve">, </w:t>
      </w:r>
      <w:r w:rsidR="005100EA" w:rsidRPr="000E39C4">
        <w:rPr>
          <w:rFonts w:cs="Calibri"/>
          <w:lang w:val="es-MX"/>
        </w:rPr>
        <w:t xml:space="preserve">estos </w:t>
      </w:r>
      <w:r w:rsidRPr="000E39C4">
        <w:rPr>
          <w:rFonts w:cs="Calibri"/>
          <w:lang w:val="es-MX"/>
        </w:rPr>
        <w:t xml:space="preserve"> valores</w:t>
      </w:r>
      <w:r w:rsidR="005100EA" w:rsidRPr="000E39C4">
        <w:rPr>
          <w:rFonts w:cs="Calibri"/>
          <w:lang w:val="es-MX"/>
        </w:rPr>
        <w:t xml:space="preserve"> son </w:t>
      </w:r>
      <w:r w:rsidRPr="000E39C4">
        <w:rPr>
          <w:rFonts w:cs="Calibri"/>
          <w:lang w:val="es-MX"/>
        </w:rPr>
        <w:t xml:space="preserve"> razonables, </w:t>
      </w:r>
      <w:r w:rsidR="0003312D">
        <w:rPr>
          <w:rFonts w:cs="Calibri"/>
          <w:lang w:val="es-MX"/>
        </w:rPr>
        <w:t>porque aún está pendiente el ingreso de parte del presupuesto 2019, que  está pendiente de aprobación por parte de la Contraloría General de la República.</w:t>
      </w:r>
    </w:p>
    <w:p w:rsidR="005100EA" w:rsidRPr="005100EA" w:rsidRDefault="005100EA" w:rsidP="005100EA">
      <w:pPr>
        <w:pStyle w:val="Prrafodelista"/>
        <w:spacing w:after="0"/>
        <w:ind w:left="426"/>
        <w:jc w:val="both"/>
        <w:rPr>
          <w:rFonts w:cs="Calibri"/>
          <w:lang w:val="es-MX"/>
        </w:rPr>
      </w:pPr>
    </w:p>
    <w:p w:rsidR="00E475D9" w:rsidRDefault="00E475D9" w:rsidP="00EE73F0">
      <w:pPr>
        <w:pStyle w:val="Prrafodelista"/>
        <w:numPr>
          <w:ilvl w:val="0"/>
          <w:numId w:val="6"/>
        </w:numPr>
        <w:spacing w:after="0"/>
        <w:ind w:left="426"/>
        <w:jc w:val="both"/>
        <w:rPr>
          <w:rFonts w:cs="Calibri"/>
          <w:b/>
          <w:lang w:val="es-MX"/>
        </w:rPr>
      </w:pPr>
      <w:r w:rsidRPr="00CF6B79">
        <w:rPr>
          <w:rFonts w:cs="Calibri"/>
          <w:b/>
          <w:lang w:val="es-MX"/>
        </w:rPr>
        <w:t>Análisis de rentabilidad</w:t>
      </w:r>
    </w:p>
    <w:p w:rsidR="005B786D" w:rsidRDefault="005B786D" w:rsidP="005B786D">
      <w:pPr>
        <w:pStyle w:val="Prrafodelista"/>
        <w:spacing w:after="0"/>
        <w:ind w:left="426"/>
        <w:jc w:val="both"/>
        <w:rPr>
          <w:rFonts w:cs="Calibri"/>
          <w:b/>
          <w:lang w:val="es-MX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500"/>
        <w:gridCol w:w="1740"/>
        <w:gridCol w:w="1480"/>
      </w:tblGrid>
      <w:tr w:rsidR="00C02C52" w:rsidRPr="00C02C52" w:rsidTr="00C02C52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99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rPr>
                <w:rFonts w:cs="Calibri"/>
                <w:color w:val="FFFFFF"/>
                <w:lang w:val="es-CR" w:eastAsia="es-CR"/>
              </w:rPr>
            </w:pPr>
            <w:r w:rsidRPr="00C02C52">
              <w:rPr>
                <w:rFonts w:cs="Calibri"/>
                <w:color w:val="FFFFFF"/>
                <w:lang w:val="es-CR" w:eastAsia="es-CR"/>
              </w:rPr>
              <w:t>3. Análisis de la rentabilidad: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99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s-CR" w:eastAsia="es-CR"/>
              </w:rPr>
            </w:pPr>
            <w:r w:rsidRPr="00C02C52">
              <w:rPr>
                <w:rFonts w:cs="Calibri"/>
                <w:b/>
                <w:bCs/>
                <w:color w:val="FFFFFF"/>
                <w:lang w:val="es-CR" w:eastAsia="es-CR"/>
              </w:rPr>
              <w:t>Marzo 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99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s-CR" w:eastAsia="es-CR"/>
              </w:rPr>
            </w:pPr>
            <w:r w:rsidRPr="00C02C52">
              <w:rPr>
                <w:rFonts w:cs="Calibri"/>
                <w:b/>
                <w:bCs/>
                <w:color w:val="FFFFFF"/>
                <w:lang w:val="es-CR" w:eastAsia="es-CR"/>
              </w:rPr>
              <w:t>Marzo 2018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C02C52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Promedio</w:t>
            </w:r>
          </w:p>
        </w:tc>
      </w:tr>
      <w:tr w:rsidR="00C02C52" w:rsidRPr="00C02C52" w:rsidTr="00C02C5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Margen de utilidad corriente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right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34,22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right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176,29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C02C52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105,26</w:t>
            </w:r>
          </w:p>
        </w:tc>
      </w:tr>
      <w:tr w:rsidR="00C02C52" w:rsidRPr="00C02C52" w:rsidTr="00C02C5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Margen de utilidad neta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right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24,90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right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162,31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C02C52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93,61</w:t>
            </w:r>
          </w:p>
        </w:tc>
      </w:tr>
      <w:tr w:rsidR="00C02C52" w:rsidRPr="00C02C52" w:rsidTr="00C02C5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Rendimientos sobre los activos RSA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C02C52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C02C52" w:rsidRPr="00C02C52" w:rsidTr="00C02C5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RSA=utilidad neta/activos totales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right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6,67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right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42,04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C02C52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24,36</w:t>
            </w:r>
          </w:p>
        </w:tc>
      </w:tr>
      <w:tr w:rsidR="00C02C52" w:rsidRPr="00C02C52" w:rsidTr="00C02C5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Rendimiento sobre el capital contable RSC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C02C52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C02C52" w:rsidRPr="00C02C52" w:rsidTr="00C02C5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RSC=utilidad neta/capital contable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right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7,13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right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45,87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C02C52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26,50</w:t>
            </w:r>
          </w:p>
        </w:tc>
      </w:tr>
      <w:tr w:rsidR="00C02C52" w:rsidRPr="00C02C52" w:rsidTr="00C02C5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Sistema Dupont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C02C52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C02C52" w:rsidRPr="00C02C52" w:rsidTr="00C02C5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RSA*RSC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right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47,57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right"/>
              <w:rPr>
                <w:rFonts w:cs="Calibri"/>
                <w:color w:val="000000"/>
                <w:lang w:val="es-CR" w:eastAsia="es-CR"/>
              </w:rPr>
            </w:pPr>
            <w:r w:rsidRPr="00C02C52">
              <w:rPr>
                <w:rFonts w:cs="Calibri"/>
                <w:color w:val="000000"/>
                <w:lang w:val="es-CR" w:eastAsia="es-CR"/>
              </w:rPr>
              <w:t>1.928,37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C52" w:rsidRPr="00C02C52" w:rsidRDefault="00C02C52" w:rsidP="00C02C5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s-CR" w:eastAsia="es-CR"/>
              </w:rPr>
            </w:pPr>
            <w:r w:rsidRPr="00C02C52">
              <w:rPr>
                <w:rFonts w:cs="Calibri"/>
                <w:color w:val="000000"/>
                <w:sz w:val="20"/>
                <w:szCs w:val="20"/>
                <w:lang w:val="es-CR" w:eastAsia="es-CR"/>
              </w:rPr>
              <w:t>987,97</w:t>
            </w:r>
          </w:p>
        </w:tc>
      </w:tr>
    </w:tbl>
    <w:p w:rsidR="005B786D" w:rsidRDefault="005B786D" w:rsidP="005B786D">
      <w:pPr>
        <w:pStyle w:val="Prrafodelista"/>
        <w:spacing w:after="0"/>
        <w:ind w:left="426"/>
        <w:jc w:val="both"/>
        <w:rPr>
          <w:rFonts w:cs="Calibri"/>
          <w:b/>
          <w:lang w:val="es-MX"/>
        </w:rPr>
      </w:pPr>
    </w:p>
    <w:p w:rsidR="00F66A2E" w:rsidRDefault="00F66A2E" w:rsidP="00F66A2E">
      <w:pPr>
        <w:pStyle w:val="Prrafodelista"/>
        <w:spacing w:after="0"/>
        <w:ind w:left="426"/>
        <w:jc w:val="both"/>
        <w:rPr>
          <w:rFonts w:cs="Calibri"/>
          <w:b/>
          <w:lang w:val="es-MX"/>
        </w:rPr>
      </w:pPr>
    </w:p>
    <w:p w:rsidR="00E475D9" w:rsidRDefault="00E475D9" w:rsidP="002A7BE5">
      <w:pPr>
        <w:pStyle w:val="Prrafodelista"/>
        <w:spacing w:after="0" w:line="240" w:lineRule="auto"/>
        <w:ind w:left="426"/>
        <w:jc w:val="both"/>
        <w:rPr>
          <w:rFonts w:cs="Calibri"/>
          <w:lang w:val="es-MX"/>
        </w:rPr>
      </w:pPr>
      <w:r w:rsidRPr="00CF6B79">
        <w:rPr>
          <w:rFonts w:cs="Calibri"/>
          <w:lang w:val="es-MX"/>
        </w:rPr>
        <w:t>Es importante indicar que este tipo de razones financieras vienen a mostrar la eficiencia de las empresas en cuanto a la producción de ganancias (utilidades, superávit). Sin embargo, este razonamiento es dotado para una empresa donde su fin en s</w:t>
      </w:r>
      <w:r>
        <w:rPr>
          <w:rFonts w:cs="Calibri"/>
          <w:lang w:val="es-MX"/>
        </w:rPr>
        <w:t>í</w:t>
      </w:r>
      <w:r w:rsidRPr="00CF6B79">
        <w:rPr>
          <w:rFonts w:cs="Calibri"/>
          <w:lang w:val="es-MX"/>
        </w:rPr>
        <w:t xml:space="preserve"> mismo es producir ganancias, en el ca</w:t>
      </w:r>
      <w:r w:rsidR="00F66A2E">
        <w:rPr>
          <w:rFonts w:cs="Calibri"/>
          <w:lang w:val="es-MX"/>
        </w:rPr>
        <w:t xml:space="preserve">so de la Universidad el fin </w:t>
      </w:r>
      <w:r w:rsidRPr="00CF6B79">
        <w:rPr>
          <w:rFonts w:cs="Calibri"/>
          <w:lang w:val="es-MX"/>
        </w:rPr>
        <w:t xml:space="preserve"> es maximizar los recursos disponibles e invertirlos en las necesidades estratégicas institucionales a través</w:t>
      </w:r>
      <w:r w:rsidR="00C46F28">
        <w:rPr>
          <w:rFonts w:cs="Calibri"/>
          <w:lang w:val="es-MX"/>
        </w:rPr>
        <w:t xml:space="preserve"> del tiempo.  Lo que implica </w:t>
      </w:r>
      <w:r w:rsidRPr="00CF6B79">
        <w:rPr>
          <w:rFonts w:cs="Calibri"/>
          <w:lang w:val="es-MX"/>
        </w:rPr>
        <w:t xml:space="preserve"> no es tener superávit, en su lugar es asignar e invertir esos recursos de una forma adecuada, administrando los mismos para el bienestar del sector de educación superior dentro de las premisas de este tipo de educación.</w:t>
      </w:r>
    </w:p>
    <w:p w:rsidR="00E85067" w:rsidRDefault="00E85067" w:rsidP="002A7BE5">
      <w:pPr>
        <w:pStyle w:val="Prrafodelista"/>
        <w:spacing w:after="0" w:line="240" w:lineRule="auto"/>
        <w:ind w:left="426"/>
        <w:jc w:val="both"/>
        <w:rPr>
          <w:rFonts w:cs="Calibri"/>
          <w:lang w:val="es-MX"/>
        </w:rPr>
      </w:pPr>
    </w:p>
    <w:p w:rsidR="00C57FEF" w:rsidRDefault="00C57FEF" w:rsidP="00DA4843">
      <w:pPr>
        <w:pStyle w:val="Prrafodelista"/>
        <w:spacing w:after="0"/>
        <w:ind w:left="426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jc w:val="both"/>
        <w:rPr>
          <w:rFonts w:cs="Calibri"/>
          <w:b/>
          <w:color w:val="000000"/>
          <w:lang w:val="es-MX"/>
        </w:rPr>
      </w:pPr>
      <w:r w:rsidRPr="00FA5F9B">
        <w:rPr>
          <w:rFonts w:cs="Calibri"/>
          <w:b/>
          <w:color w:val="000000"/>
          <w:lang w:val="es-MX"/>
        </w:rPr>
        <w:t>II.2. Análisis Financiero Horizontal (tendencias)</w:t>
      </w:r>
    </w:p>
    <w:p w:rsidR="00AA0B99" w:rsidRPr="00FA5F9B" w:rsidRDefault="00AA0B99" w:rsidP="00E475D9">
      <w:pPr>
        <w:spacing w:after="0"/>
        <w:jc w:val="both"/>
        <w:rPr>
          <w:rFonts w:cs="Calibri"/>
          <w:b/>
          <w:color w:val="000000"/>
          <w:lang w:val="es-MX"/>
        </w:rPr>
      </w:pPr>
    </w:p>
    <w:p w:rsidR="004B7234" w:rsidRDefault="00E475D9" w:rsidP="002A7BE5">
      <w:pPr>
        <w:spacing w:after="0" w:line="240" w:lineRule="auto"/>
        <w:jc w:val="both"/>
        <w:rPr>
          <w:rFonts w:cs="Calibri"/>
          <w:lang w:val="es-MX"/>
        </w:rPr>
      </w:pPr>
      <w:r w:rsidRPr="00A91AAB">
        <w:rPr>
          <w:rFonts w:cs="Calibri"/>
          <w:lang w:val="es-MX"/>
        </w:rPr>
        <w:t xml:space="preserve">El análisis </w:t>
      </w:r>
      <w:r w:rsidR="000A2F69">
        <w:rPr>
          <w:rFonts w:cs="Calibri"/>
          <w:lang w:val="es-MX"/>
        </w:rPr>
        <w:t xml:space="preserve"> horizontal </w:t>
      </w:r>
      <w:r w:rsidRPr="00A91AAB">
        <w:rPr>
          <w:rFonts w:cs="Calibri"/>
          <w:lang w:val="es-MX"/>
        </w:rPr>
        <w:t>tiene como objetivo mostrar el comportamiento</w:t>
      </w:r>
      <w:r w:rsidR="00F66A2E">
        <w:rPr>
          <w:rFonts w:cs="Calibri"/>
          <w:lang w:val="es-MX"/>
        </w:rPr>
        <w:t xml:space="preserve"> del Balance </w:t>
      </w:r>
      <w:r w:rsidR="004B7234">
        <w:rPr>
          <w:rFonts w:cs="Calibri"/>
          <w:lang w:val="es-MX"/>
        </w:rPr>
        <w:t xml:space="preserve"> a </w:t>
      </w:r>
      <w:r w:rsidR="00C02C52">
        <w:rPr>
          <w:rFonts w:cs="Calibri"/>
          <w:lang w:val="es-MX"/>
        </w:rPr>
        <w:t xml:space="preserve">marzo </w:t>
      </w:r>
      <w:r w:rsidR="004B7234">
        <w:rPr>
          <w:rFonts w:cs="Calibri"/>
          <w:lang w:val="es-MX"/>
        </w:rPr>
        <w:t>201</w:t>
      </w:r>
      <w:r w:rsidR="00C02C52">
        <w:rPr>
          <w:rFonts w:cs="Calibri"/>
          <w:lang w:val="es-MX"/>
        </w:rPr>
        <w:t>9</w:t>
      </w:r>
      <w:r w:rsidR="001C2C46">
        <w:rPr>
          <w:rFonts w:cs="Calibri"/>
          <w:lang w:val="es-MX"/>
        </w:rPr>
        <w:t xml:space="preserve"> </w:t>
      </w:r>
      <w:r w:rsidR="004B7234">
        <w:rPr>
          <w:rFonts w:cs="Calibri"/>
          <w:lang w:val="es-MX"/>
        </w:rPr>
        <w:t xml:space="preserve">con el período </w:t>
      </w:r>
      <w:r w:rsidR="00F66A2E">
        <w:rPr>
          <w:rFonts w:cs="Calibri"/>
          <w:lang w:val="es-MX"/>
        </w:rPr>
        <w:t>diciembre</w:t>
      </w:r>
      <w:r w:rsidR="004B7234">
        <w:rPr>
          <w:rFonts w:cs="Calibri"/>
          <w:lang w:val="es-MX"/>
        </w:rPr>
        <w:t xml:space="preserve"> 201</w:t>
      </w:r>
      <w:r w:rsidR="00C02C52">
        <w:rPr>
          <w:rFonts w:cs="Calibri"/>
          <w:lang w:val="es-MX"/>
        </w:rPr>
        <w:t>8</w:t>
      </w:r>
      <w:r w:rsidR="004B7234">
        <w:rPr>
          <w:rFonts w:cs="Calibri"/>
          <w:lang w:val="es-MX"/>
        </w:rPr>
        <w:t>.</w:t>
      </w:r>
    </w:p>
    <w:p w:rsidR="004B7234" w:rsidRDefault="005D34E6" w:rsidP="002A7BE5">
      <w:pPr>
        <w:spacing w:after="0" w:line="240" w:lineRule="auto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>Muestra los incrementos o disminuciones en términos absolutos y relativos de las cuentas del Balance de Situación y Estado de Resultados.</w:t>
      </w:r>
    </w:p>
    <w:p w:rsidR="00E475D9" w:rsidRPr="00CF6B7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tbl>
      <w:tblPr>
        <w:tblpPr w:leftFromText="141" w:rightFromText="141" w:horzAnchor="page" w:tblpX="1160" w:tblpY="-1423"/>
        <w:tblW w:w="12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1"/>
        <w:gridCol w:w="760"/>
        <w:gridCol w:w="780"/>
        <w:gridCol w:w="720"/>
      </w:tblGrid>
      <w:tr w:rsidR="0020325D" w:rsidRPr="0020325D" w:rsidTr="00A31A1C">
        <w:trPr>
          <w:trHeight w:val="300"/>
        </w:trPr>
        <w:tc>
          <w:tcPr>
            <w:tcW w:w="10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5D" w:rsidRPr="0020325D" w:rsidRDefault="0020325D" w:rsidP="00A31A1C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20325D">
              <w:rPr>
                <w:color w:val="000000"/>
                <w:sz w:val="14"/>
                <w:szCs w:val="14"/>
              </w:rPr>
              <w:t>UNIVERSIDAD NACIONAL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5D" w:rsidRPr="0020325D" w:rsidRDefault="0020325D" w:rsidP="00A31A1C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5D" w:rsidRPr="0020325D" w:rsidRDefault="0020325D" w:rsidP="00A31A1C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5D" w:rsidRPr="0020325D" w:rsidRDefault="0020325D" w:rsidP="00A31A1C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</w:tr>
    </w:tbl>
    <w:p w:rsidR="00590F22" w:rsidRDefault="00590F22" w:rsidP="00E475D9">
      <w:pPr>
        <w:spacing w:after="0"/>
        <w:jc w:val="both"/>
        <w:rPr>
          <w:rFonts w:cs="Calibri"/>
          <w:b/>
          <w:lang w:val="es-MX"/>
        </w:rPr>
      </w:pPr>
    </w:p>
    <w:p w:rsidR="00E475D9" w:rsidRDefault="00E475D9" w:rsidP="00E475D9">
      <w:pPr>
        <w:spacing w:after="0"/>
        <w:jc w:val="both"/>
        <w:rPr>
          <w:rFonts w:cs="Calibri"/>
          <w:b/>
          <w:lang w:val="es-MX"/>
        </w:rPr>
      </w:pPr>
      <w:r w:rsidRPr="000E2D11">
        <w:rPr>
          <w:rFonts w:cs="Calibri"/>
          <w:b/>
          <w:lang w:val="es-MX"/>
        </w:rPr>
        <w:t xml:space="preserve">Balance de </w:t>
      </w:r>
      <w:r w:rsidR="00806D7E">
        <w:rPr>
          <w:rFonts w:cs="Calibri"/>
          <w:b/>
          <w:lang w:val="es-MX"/>
        </w:rPr>
        <w:t>S</w:t>
      </w:r>
      <w:r w:rsidRPr="000E2D11">
        <w:rPr>
          <w:rFonts w:cs="Calibri"/>
          <w:b/>
          <w:lang w:val="es-MX"/>
        </w:rPr>
        <w:t>ituación:</w:t>
      </w:r>
    </w:p>
    <w:p w:rsidR="00776488" w:rsidRDefault="00776488" w:rsidP="00E475D9">
      <w:pPr>
        <w:spacing w:after="0"/>
        <w:jc w:val="both"/>
        <w:rPr>
          <w:rFonts w:cs="Calibri"/>
          <w:b/>
          <w:lang w:val="es-MX"/>
        </w:rPr>
      </w:pPr>
    </w:p>
    <w:p w:rsidR="001E7325" w:rsidRDefault="00776488" w:rsidP="002A7BE5">
      <w:pPr>
        <w:pStyle w:val="Prrafodelista"/>
        <w:numPr>
          <w:ilvl w:val="1"/>
          <w:numId w:val="6"/>
        </w:numPr>
        <w:spacing w:after="0" w:line="240" w:lineRule="auto"/>
        <w:ind w:left="426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 xml:space="preserve">En activos </w:t>
      </w:r>
      <w:r w:rsidR="00D24F00">
        <w:rPr>
          <w:rFonts w:cs="Calibri"/>
          <w:lang w:val="es-MX"/>
        </w:rPr>
        <w:t>circulantes</w:t>
      </w:r>
      <w:r>
        <w:rPr>
          <w:rFonts w:cs="Calibri"/>
          <w:lang w:val="es-MX"/>
        </w:rPr>
        <w:t xml:space="preserve"> se muestra</w:t>
      </w:r>
      <w:r w:rsidR="009265C7">
        <w:rPr>
          <w:rFonts w:cs="Calibri"/>
          <w:lang w:val="es-MX"/>
        </w:rPr>
        <w:t xml:space="preserve"> que para </w:t>
      </w:r>
      <w:r w:rsidR="00C02C52">
        <w:rPr>
          <w:rFonts w:cs="Calibri"/>
          <w:lang w:val="es-MX"/>
        </w:rPr>
        <w:t xml:space="preserve">marzo </w:t>
      </w:r>
      <w:r w:rsidR="00F66A2E">
        <w:rPr>
          <w:rFonts w:cs="Calibri"/>
          <w:lang w:val="es-MX"/>
        </w:rPr>
        <w:t xml:space="preserve"> </w:t>
      </w:r>
      <w:r w:rsidR="009265C7">
        <w:rPr>
          <w:rFonts w:cs="Calibri"/>
          <w:lang w:val="es-MX"/>
        </w:rPr>
        <w:t xml:space="preserve"> 201</w:t>
      </w:r>
      <w:r w:rsidR="00C02C52">
        <w:rPr>
          <w:rFonts w:cs="Calibri"/>
          <w:lang w:val="es-MX"/>
        </w:rPr>
        <w:t>9</w:t>
      </w:r>
      <w:r w:rsidR="009265C7">
        <w:rPr>
          <w:rFonts w:cs="Calibri"/>
          <w:lang w:val="es-MX"/>
        </w:rPr>
        <w:t xml:space="preserve"> con respecto a diciembre 201</w:t>
      </w:r>
      <w:r w:rsidR="00C02C52">
        <w:rPr>
          <w:rFonts w:cs="Calibri"/>
          <w:lang w:val="es-MX"/>
        </w:rPr>
        <w:t>8</w:t>
      </w:r>
      <w:r w:rsidR="009265C7">
        <w:rPr>
          <w:rFonts w:cs="Calibri"/>
          <w:lang w:val="es-MX"/>
        </w:rPr>
        <w:t xml:space="preserve">, hay </w:t>
      </w:r>
      <w:r>
        <w:rPr>
          <w:rFonts w:cs="Calibri"/>
          <w:lang w:val="es-MX"/>
        </w:rPr>
        <w:t xml:space="preserve"> un incremento de ¢</w:t>
      </w:r>
      <w:r w:rsidR="00C02C52">
        <w:rPr>
          <w:rFonts w:cs="Calibri"/>
          <w:lang w:val="es-MX"/>
        </w:rPr>
        <w:t>6.523.306,70</w:t>
      </w:r>
      <w:r w:rsidR="009265C7">
        <w:rPr>
          <w:rFonts w:cs="Calibri"/>
          <w:lang w:val="es-MX"/>
        </w:rPr>
        <w:t xml:space="preserve">, esto obedece </w:t>
      </w:r>
      <w:r w:rsidR="00031F1F">
        <w:rPr>
          <w:rFonts w:cs="Calibri"/>
          <w:lang w:val="es-MX"/>
        </w:rPr>
        <w:t>a que el rubro más importante</w:t>
      </w:r>
      <w:r w:rsidR="00DE2C3D">
        <w:rPr>
          <w:rFonts w:cs="Calibri"/>
          <w:lang w:val="es-MX"/>
        </w:rPr>
        <w:t xml:space="preserve"> que tuvo una variación significativa fue</w:t>
      </w:r>
      <w:r w:rsidR="00C02C52">
        <w:rPr>
          <w:rFonts w:cs="Calibri"/>
          <w:lang w:val="es-MX"/>
        </w:rPr>
        <w:t xml:space="preserve"> “Caja y Bancos” con un incremento de ¢4.963.088.77, </w:t>
      </w:r>
      <w:r w:rsidR="00A84D95">
        <w:rPr>
          <w:rFonts w:cs="Calibri"/>
          <w:lang w:val="es-MX"/>
        </w:rPr>
        <w:t xml:space="preserve">hubo un ingreso por parte del Ministerio de Hacienda de ¢1.839.240.00 por un desembolso del Fondo de Financiamiento de Educación Superior, Banco Mundial, también en  el rubro </w:t>
      </w:r>
      <w:r w:rsidR="00C02C52">
        <w:rPr>
          <w:rFonts w:cs="Calibri"/>
          <w:lang w:val="es-MX"/>
        </w:rPr>
        <w:t xml:space="preserve"> </w:t>
      </w:r>
      <w:r w:rsidR="00DE2C3D">
        <w:rPr>
          <w:rFonts w:cs="Calibri"/>
          <w:lang w:val="es-MX"/>
        </w:rPr>
        <w:t xml:space="preserve"> </w:t>
      </w:r>
      <w:r w:rsidR="00A84D95">
        <w:rPr>
          <w:rFonts w:cs="Calibri"/>
          <w:lang w:val="es-MX"/>
        </w:rPr>
        <w:t>de inversiones</w:t>
      </w:r>
      <w:r w:rsidR="00DE2C3D">
        <w:rPr>
          <w:rFonts w:cs="Calibri"/>
          <w:lang w:val="es-MX"/>
        </w:rPr>
        <w:t xml:space="preserve"> ,  hubo un </w:t>
      </w:r>
      <w:r w:rsidR="001D74AE">
        <w:rPr>
          <w:rFonts w:cs="Calibri"/>
          <w:lang w:val="es-MX"/>
        </w:rPr>
        <w:t xml:space="preserve">incremento </w:t>
      </w:r>
      <w:r w:rsidR="00DE2C3D">
        <w:rPr>
          <w:rFonts w:cs="Calibri"/>
          <w:lang w:val="es-MX"/>
        </w:rPr>
        <w:t xml:space="preserve"> de </w:t>
      </w:r>
      <w:r w:rsidR="001D74AE">
        <w:rPr>
          <w:rFonts w:cs="Calibri"/>
          <w:lang w:val="es-MX"/>
        </w:rPr>
        <w:t>¢</w:t>
      </w:r>
      <w:r w:rsidR="00A84D95">
        <w:rPr>
          <w:rFonts w:cs="Calibri"/>
          <w:lang w:val="es-MX"/>
        </w:rPr>
        <w:t>1.796.698,84</w:t>
      </w:r>
      <w:r w:rsidR="00DE2C3D">
        <w:rPr>
          <w:rFonts w:cs="Calibri"/>
          <w:lang w:val="es-MX"/>
        </w:rPr>
        <w:t xml:space="preserve">, </w:t>
      </w:r>
      <w:r w:rsidR="001E7325">
        <w:rPr>
          <w:rFonts w:cs="Calibri"/>
          <w:lang w:val="es-MX"/>
        </w:rPr>
        <w:t xml:space="preserve"> </w:t>
      </w:r>
      <w:r w:rsidR="001C2C46">
        <w:rPr>
          <w:rFonts w:cs="Calibri"/>
          <w:lang w:val="es-MX"/>
        </w:rPr>
        <w:t xml:space="preserve">algunas cuentas que financiaron el crecimiento de estas inversiones fue el dinero que se encontraban en las </w:t>
      </w:r>
      <w:r w:rsidR="00835CFD">
        <w:rPr>
          <w:rFonts w:cs="Calibri"/>
          <w:lang w:val="es-MX"/>
        </w:rPr>
        <w:t>cuentas corrientes a diciembre 201</w:t>
      </w:r>
      <w:r w:rsidR="00A84D95">
        <w:rPr>
          <w:rFonts w:cs="Calibri"/>
          <w:lang w:val="es-MX"/>
        </w:rPr>
        <w:t>8</w:t>
      </w:r>
      <w:r w:rsidR="00347F80">
        <w:rPr>
          <w:rFonts w:cs="Calibri"/>
          <w:lang w:val="es-MX"/>
        </w:rPr>
        <w:t>.</w:t>
      </w:r>
    </w:p>
    <w:p w:rsidR="009A005C" w:rsidRDefault="009A005C" w:rsidP="009A005C">
      <w:pPr>
        <w:pStyle w:val="Prrafodelista"/>
        <w:spacing w:after="0"/>
        <w:ind w:left="426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 xml:space="preserve">El crecimiento global de los activos circulantes es de </w:t>
      </w:r>
      <w:r w:rsidR="00A84D95">
        <w:rPr>
          <w:rFonts w:cs="Calibri"/>
          <w:lang w:val="es-MX"/>
        </w:rPr>
        <w:t>13.30</w:t>
      </w:r>
      <w:r>
        <w:rPr>
          <w:rFonts w:cs="Calibri"/>
          <w:lang w:val="es-MX"/>
        </w:rPr>
        <w:t>%, con respecto a diciembre 201</w:t>
      </w:r>
      <w:r w:rsidR="00A84D95">
        <w:rPr>
          <w:rFonts w:cs="Calibri"/>
          <w:lang w:val="es-MX"/>
        </w:rPr>
        <w:t>8</w:t>
      </w:r>
      <w:r>
        <w:rPr>
          <w:rFonts w:cs="Calibri"/>
          <w:lang w:val="es-MX"/>
        </w:rPr>
        <w:t>.</w:t>
      </w:r>
    </w:p>
    <w:p w:rsidR="00776488" w:rsidRPr="00776488" w:rsidRDefault="00776488" w:rsidP="00E475D9">
      <w:pPr>
        <w:spacing w:after="0"/>
        <w:jc w:val="both"/>
        <w:rPr>
          <w:rFonts w:cs="Calibri"/>
          <w:lang w:val="es-MX"/>
        </w:rPr>
      </w:pPr>
    </w:p>
    <w:p w:rsidR="00B160F5" w:rsidRDefault="00252FA9" w:rsidP="002A7BE5">
      <w:pPr>
        <w:spacing w:after="0" w:line="240" w:lineRule="auto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 xml:space="preserve">Los </w:t>
      </w:r>
      <w:r w:rsidR="00E475D9" w:rsidRPr="000E2D11">
        <w:rPr>
          <w:rFonts w:cs="Calibri"/>
          <w:lang w:val="es-MX"/>
        </w:rPr>
        <w:t xml:space="preserve"> activos fijos n</w:t>
      </w:r>
      <w:r w:rsidR="00207FBA">
        <w:rPr>
          <w:rFonts w:cs="Calibri"/>
          <w:lang w:val="es-MX"/>
        </w:rPr>
        <w:t xml:space="preserve">etos muestra que para </w:t>
      </w:r>
      <w:r w:rsidR="00897192">
        <w:rPr>
          <w:rFonts w:cs="Calibri"/>
          <w:lang w:val="es-MX"/>
        </w:rPr>
        <w:t xml:space="preserve">marzo </w:t>
      </w:r>
      <w:r w:rsidR="0004313B">
        <w:rPr>
          <w:rFonts w:cs="Calibri"/>
          <w:lang w:val="es-MX"/>
        </w:rPr>
        <w:t xml:space="preserve"> </w:t>
      </w:r>
      <w:r w:rsidR="00465B5D">
        <w:rPr>
          <w:rFonts w:cs="Calibri"/>
          <w:lang w:val="es-MX"/>
        </w:rPr>
        <w:t xml:space="preserve"> 201</w:t>
      </w:r>
      <w:r w:rsidR="00897192">
        <w:rPr>
          <w:rFonts w:cs="Calibri"/>
          <w:lang w:val="es-MX"/>
        </w:rPr>
        <w:t>9</w:t>
      </w:r>
      <w:r w:rsidR="00465B5D">
        <w:rPr>
          <w:rFonts w:cs="Calibri"/>
          <w:lang w:val="es-MX"/>
        </w:rPr>
        <w:t xml:space="preserve"> hubo un </w:t>
      </w:r>
      <w:r w:rsidR="00897192">
        <w:rPr>
          <w:rFonts w:cs="Calibri"/>
          <w:lang w:val="es-MX"/>
        </w:rPr>
        <w:t>incremento</w:t>
      </w:r>
      <w:r w:rsidR="00347F80">
        <w:rPr>
          <w:rFonts w:cs="Calibri"/>
          <w:lang w:val="es-MX"/>
        </w:rPr>
        <w:t xml:space="preserve"> </w:t>
      </w:r>
      <w:r w:rsidR="00465B5D">
        <w:rPr>
          <w:rFonts w:cs="Calibri"/>
          <w:lang w:val="es-MX"/>
        </w:rPr>
        <w:t xml:space="preserve"> con respecto a diciembre del 201</w:t>
      </w:r>
      <w:r w:rsidR="00897192">
        <w:rPr>
          <w:rFonts w:cs="Calibri"/>
          <w:lang w:val="es-MX"/>
        </w:rPr>
        <w:t>8</w:t>
      </w:r>
      <w:r w:rsidR="00465B5D">
        <w:rPr>
          <w:rFonts w:cs="Calibri"/>
          <w:lang w:val="es-MX"/>
        </w:rPr>
        <w:t xml:space="preserve"> de un </w:t>
      </w:r>
      <w:r w:rsidR="00897192">
        <w:rPr>
          <w:rFonts w:cs="Calibri"/>
          <w:lang w:val="es-MX"/>
        </w:rPr>
        <w:t>4.13</w:t>
      </w:r>
      <w:r w:rsidR="00465B5D">
        <w:rPr>
          <w:rFonts w:cs="Calibri"/>
          <w:lang w:val="es-MX"/>
        </w:rPr>
        <w:t>%.</w:t>
      </w:r>
      <w:r w:rsidR="00347F80">
        <w:rPr>
          <w:rFonts w:cs="Calibri"/>
          <w:lang w:val="es-MX"/>
        </w:rPr>
        <w:t>, la cuenta</w:t>
      </w:r>
      <w:r w:rsidR="00897192">
        <w:rPr>
          <w:rFonts w:cs="Calibri"/>
          <w:lang w:val="es-MX"/>
        </w:rPr>
        <w:t>s</w:t>
      </w:r>
      <w:r w:rsidR="00347F80">
        <w:rPr>
          <w:rFonts w:cs="Calibri"/>
          <w:lang w:val="es-MX"/>
        </w:rPr>
        <w:t xml:space="preserve"> más significativa</w:t>
      </w:r>
      <w:r w:rsidR="00897192">
        <w:rPr>
          <w:rFonts w:cs="Calibri"/>
          <w:lang w:val="es-MX"/>
        </w:rPr>
        <w:t>s</w:t>
      </w:r>
      <w:r w:rsidR="00347F80">
        <w:rPr>
          <w:rFonts w:cs="Calibri"/>
          <w:lang w:val="es-MX"/>
        </w:rPr>
        <w:t xml:space="preserve"> que contribuy</w:t>
      </w:r>
      <w:r w:rsidR="00897192">
        <w:rPr>
          <w:rFonts w:cs="Calibri"/>
          <w:lang w:val="es-MX"/>
        </w:rPr>
        <w:t xml:space="preserve">eron </w:t>
      </w:r>
      <w:r w:rsidR="00347F80">
        <w:rPr>
          <w:rFonts w:cs="Calibri"/>
          <w:lang w:val="es-MX"/>
        </w:rPr>
        <w:t xml:space="preserve"> </w:t>
      </w:r>
      <w:r w:rsidR="00897192">
        <w:rPr>
          <w:rFonts w:cs="Calibri"/>
          <w:lang w:val="es-MX"/>
        </w:rPr>
        <w:t>a estos resultados fueron caja y bancos e inversiones a largo plazo.</w:t>
      </w:r>
    </w:p>
    <w:p w:rsidR="00832162" w:rsidRDefault="00832162" w:rsidP="00E475D9">
      <w:pPr>
        <w:spacing w:after="0"/>
        <w:jc w:val="both"/>
        <w:rPr>
          <w:rFonts w:cs="Calibri"/>
          <w:lang w:val="es-MX"/>
        </w:rPr>
      </w:pPr>
    </w:p>
    <w:p w:rsidR="00504070" w:rsidRDefault="00290B81" w:rsidP="002A7BE5">
      <w:pPr>
        <w:spacing w:after="0" w:line="240" w:lineRule="auto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 xml:space="preserve">Los </w:t>
      </w:r>
      <w:r w:rsidR="007F1AA5">
        <w:rPr>
          <w:rFonts w:cs="Calibri"/>
          <w:lang w:val="es-MX"/>
        </w:rPr>
        <w:t>pasivos circulantes muestran un</w:t>
      </w:r>
      <w:r w:rsidR="00897192">
        <w:rPr>
          <w:rFonts w:cs="Calibri"/>
          <w:lang w:val="es-MX"/>
        </w:rPr>
        <w:t>a</w:t>
      </w:r>
      <w:r>
        <w:rPr>
          <w:rFonts w:cs="Calibri"/>
          <w:lang w:val="es-MX"/>
        </w:rPr>
        <w:t xml:space="preserve"> </w:t>
      </w:r>
      <w:r w:rsidR="00897192">
        <w:rPr>
          <w:rFonts w:cs="Calibri"/>
          <w:lang w:val="es-MX"/>
        </w:rPr>
        <w:t xml:space="preserve">disminución </w:t>
      </w:r>
      <w:r w:rsidR="00794A81">
        <w:rPr>
          <w:rFonts w:cs="Calibri"/>
          <w:lang w:val="es-MX"/>
        </w:rPr>
        <w:t xml:space="preserve"> </w:t>
      </w:r>
      <w:r>
        <w:rPr>
          <w:rFonts w:cs="Calibri"/>
          <w:lang w:val="es-MX"/>
        </w:rPr>
        <w:t xml:space="preserve"> global de un </w:t>
      </w:r>
      <w:r w:rsidR="00897192">
        <w:rPr>
          <w:rFonts w:cs="Calibri"/>
          <w:lang w:val="es-MX"/>
        </w:rPr>
        <w:t>17,96</w:t>
      </w:r>
      <w:r w:rsidR="006D04DF">
        <w:rPr>
          <w:rFonts w:cs="Calibri"/>
          <w:lang w:val="es-MX"/>
        </w:rPr>
        <w:t>%.</w:t>
      </w:r>
      <w:r w:rsidR="00056AA7">
        <w:rPr>
          <w:rFonts w:cs="Calibri"/>
          <w:lang w:val="es-MX"/>
        </w:rPr>
        <w:t xml:space="preserve">, siendo la partida </w:t>
      </w:r>
      <w:r w:rsidR="007350D4">
        <w:rPr>
          <w:rFonts w:cs="Calibri"/>
          <w:lang w:val="es-MX"/>
        </w:rPr>
        <w:t xml:space="preserve">más significativa </w:t>
      </w:r>
      <w:r w:rsidR="00056AA7">
        <w:rPr>
          <w:rFonts w:cs="Calibri"/>
          <w:lang w:val="es-MX"/>
        </w:rPr>
        <w:t xml:space="preserve">la de </w:t>
      </w:r>
      <w:r w:rsidR="00897192">
        <w:rPr>
          <w:rFonts w:cs="Calibri"/>
          <w:lang w:val="es-MX"/>
        </w:rPr>
        <w:t xml:space="preserve">Beneficios a </w:t>
      </w:r>
      <w:r w:rsidR="00806D7E">
        <w:rPr>
          <w:rFonts w:cs="Calibri"/>
          <w:lang w:val="es-MX"/>
        </w:rPr>
        <w:t>Empleados,</w:t>
      </w:r>
      <w:r w:rsidR="007350D4">
        <w:rPr>
          <w:rFonts w:cs="Calibri"/>
          <w:lang w:val="es-MX"/>
        </w:rPr>
        <w:t xml:space="preserve">  </w:t>
      </w:r>
      <w:r w:rsidR="00E24404">
        <w:rPr>
          <w:rFonts w:cs="Calibri"/>
          <w:lang w:val="es-MX"/>
        </w:rPr>
        <w:t>que tuvo una disminución de ¢3.356.432,00, por el pago del salario escolar que se dio en el mes de enero 2019.</w:t>
      </w:r>
    </w:p>
    <w:p w:rsidR="00794A81" w:rsidRDefault="00794A81" w:rsidP="002A7BE5">
      <w:pPr>
        <w:spacing w:after="0" w:line="240" w:lineRule="auto"/>
        <w:jc w:val="both"/>
        <w:rPr>
          <w:rFonts w:cs="Calibri"/>
          <w:lang w:val="es-MX"/>
        </w:rPr>
      </w:pPr>
    </w:p>
    <w:p w:rsidR="00E475D9" w:rsidRDefault="001B696F" w:rsidP="002A7BE5">
      <w:pPr>
        <w:spacing w:after="0" w:line="240" w:lineRule="auto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 xml:space="preserve">Capital contable, </w:t>
      </w:r>
      <w:r w:rsidR="006612DB">
        <w:rPr>
          <w:rFonts w:cs="Calibri"/>
          <w:lang w:val="es-MX"/>
        </w:rPr>
        <w:t xml:space="preserve"> </w:t>
      </w:r>
      <w:r w:rsidR="00E475D9" w:rsidRPr="000E2D11">
        <w:rPr>
          <w:rFonts w:cs="Calibri"/>
          <w:lang w:val="es-MX"/>
        </w:rPr>
        <w:t xml:space="preserve"> </w:t>
      </w:r>
      <w:r w:rsidR="003522F2">
        <w:rPr>
          <w:rFonts w:cs="Calibri"/>
          <w:lang w:val="es-MX"/>
        </w:rPr>
        <w:t xml:space="preserve">tiene un </w:t>
      </w:r>
      <w:r w:rsidR="00E24404">
        <w:rPr>
          <w:rFonts w:cs="Calibri"/>
          <w:lang w:val="es-MX"/>
        </w:rPr>
        <w:t xml:space="preserve">incremento </w:t>
      </w:r>
      <w:r w:rsidR="007350D4">
        <w:rPr>
          <w:rFonts w:cs="Calibri"/>
          <w:lang w:val="es-MX"/>
        </w:rPr>
        <w:t xml:space="preserve"> </w:t>
      </w:r>
      <w:r w:rsidR="003522F2">
        <w:rPr>
          <w:rFonts w:cs="Calibri"/>
          <w:lang w:val="es-MX"/>
        </w:rPr>
        <w:t>con respecto a diciembre 201</w:t>
      </w:r>
      <w:r w:rsidR="00E24404">
        <w:rPr>
          <w:rFonts w:cs="Calibri"/>
          <w:lang w:val="es-MX"/>
        </w:rPr>
        <w:t>9</w:t>
      </w:r>
      <w:r w:rsidR="003522F2">
        <w:rPr>
          <w:rFonts w:cs="Calibri"/>
          <w:lang w:val="es-MX"/>
        </w:rPr>
        <w:t xml:space="preserve"> de un </w:t>
      </w:r>
      <w:r w:rsidR="00E24404">
        <w:rPr>
          <w:rFonts w:cs="Calibri"/>
          <w:lang w:val="es-MX"/>
        </w:rPr>
        <w:t>9,69</w:t>
      </w:r>
      <w:r w:rsidR="003522F2">
        <w:rPr>
          <w:rFonts w:cs="Calibri"/>
          <w:lang w:val="es-MX"/>
        </w:rPr>
        <w:t>%</w:t>
      </w:r>
      <w:r w:rsidR="00D95275">
        <w:rPr>
          <w:rFonts w:cs="Calibri"/>
          <w:lang w:val="es-MX"/>
        </w:rPr>
        <w:t>.</w:t>
      </w:r>
      <w:r w:rsidR="007350D4">
        <w:rPr>
          <w:rFonts w:cs="Calibri"/>
          <w:lang w:val="es-MX"/>
        </w:rPr>
        <w:t xml:space="preserve">  La partida más significativa que contribuyó a este resultado son los resultados</w:t>
      </w:r>
      <w:r w:rsidR="00506A71">
        <w:rPr>
          <w:rFonts w:cs="Calibri"/>
          <w:lang w:val="es-MX"/>
        </w:rPr>
        <w:t xml:space="preserve"> </w:t>
      </w:r>
      <w:r w:rsidR="00E24404">
        <w:rPr>
          <w:rFonts w:cs="Calibri"/>
          <w:lang w:val="es-MX"/>
        </w:rPr>
        <w:t>acumulados</w:t>
      </w:r>
      <w:r w:rsidR="00506A71">
        <w:rPr>
          <w:rFonts w:cs="Calibri"/>
          <w:lang w:val="es-MX"/>
        </w:rPr>
        <w:t xml:space="preserve"> </w:t>
      </w:r>
      <w:r w:rsidR="007350D4">
        <w:rPr>
          <w:rFonts w:cs="Calibri"/>
          <w:lang w:val="es-MX"/>
        </w:rPr>
        <w:t xml:space="preserve"> con un </w:t>
      </w:r>
      <w:r w:rsidR="00E24404">
        <w:rPr>
          <w:rFonts w:cs="Calibri"/>
          <w:lang w:val="es-MX"/>
        </w:rPr>
        <w:t>incremento de  55.90</w:t>
      </w:r>
      <w:r w:rsidR="007350D4">
        <w:rPr>
          <w:rFonts w:cs="Calibri"/>
          <w:lang w:val="es-MX"/>
        </w:rPr>
        <w:t xml:space="preserve">%, </w:t>
      </w:r>
      <w:r w:rsidR="00E24404">
        <w:rPr>
          <w:rFonts w:cs="Calibri"/>
          <w:lang w:val="es-MX"/>
        </w:rPr>
        <w:t xml:space="preserve">a pesar de que hay </w:t>
      </w:r>
      <w:r w:rsidR="007350D4">
        <w:rPr>
          <w:rFonts w:cs="Calibri"/>
          <w:lang w:val="es-MX"/>
        </w:rPr>
        <w:t xml:space="preserve"> </w:t>
      </w:r>
      <w:r w:rsidR="00E24404">
        <w:rPr>
          <w:rFonts w:cs="Calibri"/>
          <w:lang w:val="es-MX"/>
        </w:rPr>
        <w:t xml:space="preserve">una disminución en los resultados del período  de 75.72, </w:t>
      </w:r>
      <w:r w:rsidR="00806D7E">
        <w:rPr>
          <w:rFonts w:cs="Calibri"/>
          <w:lang w:val="es-MX"/>
        </w:rPr>
        <w:t xml:space="preserve">esto obedece a que  </w:t>
      </w:r>
      <w:r w:rsidR="00E24404">
        <w:rPr>
          <w:rFonts w:cs="Calibri"/>
          <w:lang w:val="es-MX"/>
        </w:rPr>
        <w:t xml:space="preserve"> aún está pendiente el ingreso de fondos</w:t>
      </w:r>
      <w:r w:rsidR="00806D7E">
        <w:rPr>
          <w:rFonts w:cs="Calibri"/>
          <w:lang w:val="es-MX"/>
        </w:rPr>
        <w:t xml:space="preserve"> </w:t>
      </w:r>
      <w:r w:rsidR="00E24404">
        <w:rPr>
          <w:rFonts w:cs="Calibri"/>
          <w:lang w:val="es-MX"/>
        </w:rPr>
        <w:t>por la falta de aprobación de la Contraloría General de la República de una parte del presupuesto 2019</w:t>
      </w:r>
      <w:r w:rsidR="007350D4">
        <w:rPr>
          <w:rFonts w:cs="Calibri"/>
          <w:lang w:val="es-MX"/>
        </w:rPr>
        <w:t>.</w:t>
      </w:r>
    </w:p>
    <w:p w:rsidR="00E475D9" w:rsidRDefault="00E475D9" w:rsidP="00FB2216">
      <w:pPr>
        <w:spacing w:after="0"/>
        <w:jc w:val="both"/>
        <w:rPr>
          <w:rFonts w:cs="Calibri"/>
          <w:lang w:val="es-MX"/>
        </w:rPr>
      </w:pPr>
    </w:p>
    <w:p w:rsidR="00E475D9" w:rsidRPr="00CF6B79" w:rsidRDefault="00E475D9" w:rsidP="00E475D9">
      <w:pPr>
        <w:spacing w:after="0"/>
        <w:jc w:val="both"/>
        <w:rPr>
          <w:rFonts w:cs="Calibri"/>
          <w:lang w:val="es-MX"/>
        </w:rPr>
      </w:pPr>
      <w:r w:rsidRPr="00CF6B79">
        <w:rPr>
          <w:rFonts w:cs="Calibri"/>
          <w:b/>
          <w:lang w:val="es-MX"/>
        </w:rPr>
        <w:t xml:space="preserve">Estado de Resultados: </w:t>
      </w:r>
      <w:r w:rsidRPr="00CF6B79">
        <w:rPr>
          <w:rFonts w:cs="Calibri"/>
          <w:lang w:val="es-MX"/>
        </w:rPr>
        <w:t>Es importante indicar que estos resultados no conside</w:t>
      </w:r>
      <w:r w:rsidR="001D7080">
        <w:rPr>
          <w:rFonts w:cs="Calibri"/>
          <w:lang w:val="es-MX"/>
        </w:rPr>
        <w:t xml:space="preserve">ran compromisos presupuestarios, se compara </w:t>
      </w:r>
      <w:r w:rsidR="0032632B">
        <w:rPr>
          <w:rFonts w:cs="Calibri"/>
          <w:lang w:val="es-MX"/>
        </w:rPr>
        <w:t xml:space="preserve">marzo </w:t>
      </w:r>
      <w:r w:rsidR="00794A81">
        <w:rPr>
          <w:rFonts w:cs="Calibri"/>
          <w:lang w:val="es-MX"/>
        </w:rPr>
        <w:t xml:space="preserve"> </w:t>
      </w:r>
      <w:r w:rsidR="00562A1C">
        <w:rPr>
          <w:rFonts w:cs="Calibri"/>
          <w:lang w:val="es-MX"/>
        </w:rPr>
        <w:t xml:space="preserve"> 201</w:t>
      </w:r>
      <w:r w:rsidR="0032632B">
        <w:rPr>
          <w:rFonts w:cs="Calibri"/>
          <w:lang w:val="es-MX"/>
        </w:rPr>
        <w:t>9</w:t>
      </w:r>
      <w:r w:rsidR="00562A1C">
        <w:rPr>
          <w:rFonts w:cs="Calibri"/>
          <w:lang w:val="es-MX"/>
        </w:rPr>
        <w:t xml:space="preserve"> con </w:t>
      </w:r>
      <w:r w:rsidR="0032632B">
        <w:rPr>
          <w:rFonts w:cs="Calibri"/>
          <w:lang w:val="es-MX"/>
        </w:rPr>
        <w:t xml:space="preserve">marzo </w:t>
      </w:r>
      <w:r w:rsidR="00835CFD">
        <w:rPr>
          <w:rFonts w:cs="Calibri"/>
          <w:lang w:val="es-MX"/>
        </w:rPr>
        <w:t xml:space="preserve"> 201</w:t>
      </w:r>
      <w:r w:rsidR="0032632B">
        <w:rPr>
          <w:rFonts w:cs="Calibri"/>
          <w:lang w:val="es-MX"/>
        </w:rPr>
        <w:t>8</w:t>
      </w:r>
      <w:r w:rsidR="00562A1C">
        <w:rPr>
          <w:rFonts w:cs="Calibri"/>
          <w:lang w:val="es-MX"/>
        </w:rPr>
        <w:t>.</w:t>
      </w:r>
    </w:p>
    <w:p w:rsidR="00E475D9" w:rsidRPr="00CF6B79" w:rsidRDefault="00E475D9" w:rsidP="00E475D9">
      <w:pPr>
        <w:spacing w:after="0"/>
        <w:jc w:val="both"/>
        <w:rPr>
          <w:rFonts w:cs="Calibri"/>
          <w:b/>
          <w:lang w:val="es-MX"/>
        </w:rPr>
      </w:pPr>
    </w:p>
    <w:p w:rsidR="00D315C0" w:rsidRDefault="00E475D9" w:rsidP="002A7BE5">
      <w:pPr>
        <w:spacing w:after="0" w:line="240" w:lineRule="auto"/>
        <w:jc w:val="both"/>
        <w:rPr>
          <w:rFonts w:cs="Calibri"/>
          <w:lang w:val="es-MX"/>
        </w:rPr>
      </w:pPr>
      <w:r w:rsidRPr="00CF6B79">
        <w:rPr>
          <w:rFonts w:cs="Calibri"/>
          <w:lang w:val="es-MX"/>
        </w:rPr>
        <w:t xml:space="preserve">Ingresos </w:t>
      </w:r>
      <w:r w:rsidR="001D7080">
        <w:rPr>
          <w:rFonts w:cs="Calibri"/>
          <w:lang w:val="es-MX"/>
        </w:rPr>
        <w:t xml:space="preserve">corrientes </w:t>
      </w:r>
      <w:r w:rsidR="007350D4">
        <w:rPr>
          <w:rFonts w:cs="Calibri"/>
          <w:lang w:val="es-MX"/>
        </w:rPr>
        <w:t xml:space="preserve">disminuyeron </w:t>
      </w:r>
      <w:r w:rsidR="00562A1C">
        <w:rPr>
          <w:rFonts w:cs="Calibri"/>
          <w:lang w:val="es-MX"/>
        </w:rPr>
        <w:t xml:space="preserve"> </w:t>
      </w:r>
      <w:r w:rsidR="009F2CE0">
        <w:rPr>
          <w:rFonts w:cs="Calibri"/>
          <w:lang w:val="es-MX"/>
        </w:rPr>
        <w:t xml:space="preserve">en  un </w:t>
      </w:r>
      <w:r w:rsidR="00BD23D2">
        <w:rPr>
          <w:rFonts w:cs="Calibri"/>
          <w:lang w:val="es-MX"/>
        </w:rPr>
        <w:t>54.75</w:t>
      </w:r>
      <w:r w:rsidR="009F2CE0">
        <w:rPr>
          <w:rFonts w:cs="Calibri"/>
          <w:lang w:val="es-MX"/>
        </w:rPr>
        <w:t xml:space="preserve">%, con respecto a </w:t>
      </w:r>
      <w:r w:rsidR="00BD23D2">
        <w:rPr>
          <w:rFonts w:cs="Calibri"/>
          <w:lang w:val="es-MX"/>
        </w:rPr>
        <w:t>marzo</w:t>
      </w:r>
      <w:r w:rsidR="0072704D">
        <w:rPr>
          <w:rFonts w:cs="Calibri"/>
          <w:lang w:val="es-MX"/>
        </w:rPr>
        <w:t>201</w:t>
      </w:r>
      <w:r w:rsidR="00BD23D2">
        <w:rPr>
          <w:rFonts w:cs="Calibri"/>
          <w:lang w:val="es-MX"/>
        </w:rPr>
        <w:t>8</w:t>
      </w:r>
      <w:r w:rsidR="00D315C0">
        <w:rPr>
          <w:rFonts w:cs="Calibri"/>
          <w:lang w:val="es-MX"/>
        </w:rPr>
        <w:t>.</w:t>
      </w:r>
    </w:p>
    <w:p w:rsidR="00A21E1F" w:rsidRDefault="00BD23D2" w:rsidP="00BD23D2">
      <w:pPr>
        <w:spacing w:after="0" w:line="240" w:lineRule="auto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>Esta disminución es normal de acuerdo a la nota explicativa en el rubro de capital contable.</w:t>
      </w:r>
    </w:p>
    <w:p w:rsidR="001D7080" w:rsidRDefault="001D7080" w:rsidP="0085425B">
      <w:pPr>
        <w:spacing w:after="0"/>
        <w:jc w:val="both"/>
        <w:rPr>
          <w:rFonts w:cs="Calibri"/>
          <w:lang w:val="es-MX"/>
        </w:rPr>
      </w:pPr>
    </w:p>
    <w:p w:rsidR="00EB0E3A" w:rsidRDefault="00E475D9" w:rsidP="00E475D9">
      <w:pPr>
        <w:spacing w:after="0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 xml:space="preserve"> </w:t>
      </w:r>
      <w:r w:rsidRPr="00CF6B79">
        <w:rPr>
          <w:rFonts w:cs="Calibri"/>
          <w:lang w:val="es-MX"/>
        </w:rPr>
        <w:t xml:space="preserve">Gastos corrientes, </w:t>
      </w:r>
      <w:r w:rsidR="00732469">
        <w:rPr>
          <w:rFonts w:cs="Calibri"/>
          <w:lang w:val="es-MX"/>
        </w:rPr>
        <w:t xml:space="preserve"> se incrementaron en un </w:t>
      </w:r>
      <w:r w:rsidR="00BD23D2">
        <w:rPr>
          <w:rFonts w:cs="Calibri"/>
          <w:lang w:val="es-MX"/>
        </w:rPr>
        <w:t>5.52</w:t>
      </w:r>
      <w:r w:rsidR="00732469">
        <w:rPr>
          <w:rFonts w:cs="Calibri"/>
          <w:lang w:val="es-MX"/>
        </w:rPr>
        <w:t xml:space="preserve">% con respecto a </w:t>
      </w:r>
      <w:r w:rsidR="00BD23D2">
        <w:rPr>
          <w:rFonts w:cs="Calibri"/>
          <w:lang w:val="es-MX"/>
        </w:rPr>
        <w:t>marzo 2018</w:t>
      </w:r>
      <w:r w:rsidR="00FC55A5">
        <w:rPr>
          <w:rFonts w:cs="Calibri"/>
          <w:lang w:val="es-MX"/>
        </w:rPr>
        <w:t>.</w:t>
      </w:r>
    </w:p>
    <w:p w:rsidR="00EB0E3A" w:rsidRDefault="00EB0E3A" w:rsidP="00E475D9">
      <w:pPr>
        <w:spacing w:after="0"/>
        <w:jc w:val="both"/>
        <w:rPr>
          <w:rFonts w:cs="Calibri"/>
          <w:lang w:val="es-MX"/>
        </w:rPr>
      </w:pPr>
    </w:p>
    <w:p w:rsidR="00D315C0" w:rsidRDefault="00E475D9" w:rsidP="002A7BE5">
      <w:pPr>
        <w:spacing w:after="0" w:line="240" w:lineRule="auto"/>
        <w:jc w:val="both"/>
        <w:rPr>
          <w:rFonts w:cs="Calibri"/>
          <w:lang w:val="es-MX"/>
        </w:rPr>
      </w:pPr>
      <w:r w:rsidRPr="00CF6B79">
        <w:rPr>
          <w:rFonts w:cs="Calibri"/>
          <w:lang w:val="es-MX"/>
        </w:rPr>
        <w:t>Superávit de ingresos y gastos, este se compone de enfrentar los ingresos y gastos c</w:t>
      </w:r>
      <w:r w:rsidR="00EB741E">
        <w:rPr>
          <w:rFonts w:cs="Calibri"/>
          <w:lang w:val="es-MX"/>
        </w:rPr>
        <w:t xml:space="preserve">orrientes, en ese sentido </w:t>
      </w:r>
      <w:r w:rsidR="00CA3C31">
        <w:rPr>
          <w:rFonts w:cs="Calibri"/>
          <w:lang w:val="es-MX"/>
        </w:rPr>
        <w:t xml:space="preserve"> </w:t>
      </w:r>
      <w:r w:rsidR="002D7E64">
        <w:rPr>
          <w:rFonts w:cs="Calibri"/>
          <w:lang w:val="es-MX"/>
        </w:rPr>
        <w:t>hubo un</w:t>
      </w:r>
      <w:r w:rsidR="00C11542">
        <w:rPr>
          <w:rFonts w:cs="Calibri"/>
          <w:lang w:val="es-MX"/>
        </w:rPr>
        <w:t>a</w:t>
      </w:r>
      <w:r w:rsidR="002D7E64">
        <w:rPr>
          <w:rFonts w:cs="Calibri"/>
          <w:lang w:val="es-MX"/>
        </w:rPr>
        <w:t xml:space="preserve"> </w:t>
      </w:r>
      <w:r w:rsidR="00C11542">
        <w:rPr>
          <w:rFonts w:cs="Calibri"/>
          <w:lang w:val="es-MX"/>
        </w:rPr>
        <w:t xml:space="preserve">disminución </w:t>
      </w:r>
      <w:r w:rsidR="002D7E64">
        <w:rPr>
          <w:rFonts w:cs="Calibri"/>
          <w:lang w:val="es-MX"/>
        </w:rPr>
        <w:t xml:space="preserve"> en un </w:t>
      </w:r>
      <w:r w:rsidR="00BD23D2">
        <w:rPr>
          <w:rFonts w:cs="Calibri"/>
          <w:lang w:val="es-MX"/>
        </w:rPr>
        <w:t>78.43</w:t>
      </w:r>
      <w:r w:rsidR="002D7E64">
        <w:rPr>
          <w:rFonts w:cs="Calibri"/>
          <w:lang w:val="es-MX"/>
        </w:rPr>
        <w:t xml:space="preserve">% </w:t>
      </w:r>
      <w:r w:rsidR="00256BD0">
        <w:rPr>
          <w:rFonts w:cs="Calibri"/>
          <w:lang w:val="es-MX"/>
        </w:rPr>
        <w:t xml:space="preserve"> </w:t>
      </w:r>
      <w:r w:rsidR="002D7E64">
        <w:rPr>
          <w:rFonts w:cs="Calibri"/>
          <w:lang w:val="es-MX"/>
        </w:rPr>
        <w:t xml:space="preserve"> con respecto a </w:t>
      </w:r>
      <w:r w:rsidR="00BD23D2">
        <w:rPr>
          <w:rFonts w:cs="Calibri"/>
          <w:lang w:val="es-MX"/>
        </w:rPr>
        <w:t xml:space="preserve">marzo </w:t>
      </w:r>
      <w:r w:rsidR="00D315C0">
        <w:rPr>
          <w:rFonts w:cs="Calibri"/>
          <w:lang w:val="es-MX"/>
        </w:rPr>
        <w:t xml:space="preserve"> 201</w:t>
      </w:r>
      <w:r w:rsidR="00BD23D2">
        <w:rPr>
          <w:rFonts w:cs="Calibri"/>
          <w:lang w:val="es-MX"/>
        </w:rPr>
        <w:t>8.</w:t>
      </w:r>
    </w:p>
    <w:p w:rsidR="00BD23D2" w:rsidRDefault="00BD23D2" w:rsidP="002A7BE5">
      <w:pPr>
        <w:spacing w:after="0" w:line="240" w:lineRule="auto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>Esta disminución es normal de acuerdo a la nota explicativa en el rubro de capital contable.</w:t>
      </w:r>
    </w:p>
    <w:p w:rsidR="00BD23D2" w:rsidRDefault="00BD23D2" w:rsidP="002A7BE5">
      <w:pPr>
        <w:spacing w:after="0" w:line="240" w:lineRule="auto"/>
        <w:jc w:val="both"/>
        <w:rPr>
          <w:rFonts w:cs="Calibri"/>
          <w:lang w:val="es-MX"/>
        </w:rPr>
      </w:pPr>
    </w:p>
    <w:p w:rsidR="000E1A24" w:rsidRDefault="00E475D9" w:rsidP="002A7BE5">
      <w:pPr>
        <w:spacing w:after="0" w:line="240" w:lineRule="auto"/>
        <w:jc w:val="both"/>
        <w:rPr>
          <w:rFonts w:cs="Calibri"/>
          <w:lang w:val="es-MX"/>
        </w:rPr>
      </w:pPr>
      <w:r w:rsidRPr="00CF6B79">
        <w:rPr>
          <w:rFonts w:cs="Calibri"/>
          <w:lang w:val="es-MX"/>
        </w:rPr>
        <w:t>Superávit neto del período, este se compone del resultado final de cada período, en ese sen</w:t>
      </w:r>
      <w:r w:rsidR="00747FD0">
        <w:rPr>
          <w:rFonts w:cs="Calibri"/>
          <w:lang w:val="es-MX"/>
        </w:rPr>
        <w:t xml:space="preserve">tido, </w:t>
      </w:r>
      <w:r w:rsidR="00EC34ED">
        <w:rPr>
          <w:rFonts w:cs="Calibri"/>
          <w:lang w:val="es-MX"/>
        </w:rPr>
        <w:t xml:space="preserve">hubo una disminución </w:t>
      </w:r>
      <w:r w:rsidR="00E06F78">
        <w:rPr>
          <w:rFonts w:cs="Calibri"/>
          <w:lang w:val="es-MX"/>
        </w:rPr>
        <w:t xml:space="preserve"> </w:t>
      </w:r>
      <w:r w:rsidR="00256BD0">
        <w:rPr>
          <w:rFonts w:cs="Calibri"/>
          <w:lang w:val="es-MX"/>
        </w:rPr>
        <w:t xml:space="preserve">a </w:t>
      </w:r>
      <w:r w:rsidR="00BD23D2">
        <w:rPr>
          <w:rFonts w:cs="Calibri"/>
          <w:lang w:val="es-MX"/>
        </w:rPr>
        <w:t xml:space="preserve">marzo </w:t>
      </w:r>
      <w:r w:rsidR="00E06F78">
        <w:rPr>
          <w:rFonts w:cs="Calibri"/>
          <w:lang w:val="es-MX"/>
        </w:rPr>
        <w:t xml:space="preserve"> 201</w:t>
      </w:r>
      <w:r w:rsidR="00BD23D2">
        <w:rPr>
          <w:rFonts w:cs="Calibri"/>
          <w:lang w:val="es-MX"/>
        </w:rPr>
        <w:t xml:space="preserve">9 </w:t>
      </w:r>
      <w:r w:rsidR="00E06F78">
        <w:rPr>
          <w:rFonts w:cs="Calibri"/>
          <w:lang w:val="es-MX"/>
        </w:rPr>
        <w:t xml:space="preserve">con respecto a </w:t>
      </w:r>
      <w:r w:rsidR="00BD23D2">
        <w:rPr>
          <w:rFonts w:cs="Calibri"/>
          <w:lang w:val="es-MX"/>
        </w:rPr>
        <w:t>marzo 2018</w:t>
      </w:r>
      <w:r w:rsidR="00E06F78">
        <w:rPr>
          <w:rFonts w:cs="Calibri"/>
          <w:lang w:val="es-MX"/>
        </w:rPr>
        <w:t xml:space="preserve">, es de un </w:t>
      </w:r>
      <w:r w:rsidR="00BD23D2">
        <w:rPr>
          <w:rFonts w:cs="Calibri"/>
          <w:lang w:val="es-MX"/>
        </w:rPr>
        <w:t>82.95</w:t>
      </w:r>
      <w:r w:rsidR="00EB1080">
        <w:rPr>
          <w:rFonts w:cs="Calibri"/>
          <w:lang w:val="es-MX"/>
        </w:rPr>
        <w:t xml:space="preserve">%. </w:t>
      </w:r>
    </w:p>
    <w:p w:rsidR="00E475D9" w:rsidRDefault="00BD23D2" w:rsidP="005D238F">
      <w:pPr>
        <w:spacing w:after="0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>Esta disminución es normal de acuerdo a la nota explicativa en el rubro de capital contable.</w:t>
      </w:r>
    </w:p>
    <w:p w:rsidR="00BD23D2" w:rsidRDefault="00BD23D2" w:rsidP="005D238F">
      <w:pPr>
        <w:spacing w:after="0"/>
        <w:jc w:val="both"/>
        <w:rPr>
          <w:rFonts w:cs="Calibri"/>
          <w:lang w:val="es-MX"/>
        </w:rPr>
      </w:pPr>
    </w:p>
    <w:p w:rsidR="00E475D9" w:rsidRPr="00424925" w:rsidRDefault="00E475D9" w:rsidP="00E475D9">
      <w:pPr>
        <w:spacing w:after="0"/>
        <w:jc w:val="both"/>
        <w:rPr>
          <w:rFonts w:cs="Calibri"/>
          <w:b/>
          <w:color w:val="000000"/>
          <w:sz w:val="24"/>
          <w:szCs w:val="24"/>
          <w:lang w:val="es-MX"/>
        </w:rPr>
      </w:pPr>
      <w:r w:rsidRPr="00424925">
        <w:rPr>
          <w:rFonts w:cs="Calibri"/>
          <w:b/>
          <w:color w:val="000000"/>
          <w:sz w:val="24"/>
          <w:szCs w:val="24"/>
          <w:lang w:val="es-MX"/>
        </w:rPr>
        <w:t>II.3. FODA</w:t>
      </w:r>
    </w:p>
    <w:p w:rsidR="00E475D9" w:rsidRDefault="00E475D9" w:rsidP="00E475D9">
      <w:pPr>
        <w:spacing w:after="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jc w:val="both"/>
        <w:rPr>
          <w:rFonts w:cs="Calibri"/>
          <w:lang w:val="es-MX"/>
        </w:rPr>
      </w:pPr>
      <w:r w:rsidRPr="00CF6B79">
        <w:rPr>
          <w:rFonts w:cs="Calibri"/>
          <w:lang w:val="es-MX"/>
        </w:rPr>
        <w:t xml:space="preserve">Con el objetivo de presentar un análisis financiero con mayor integralidad, a partir de los Estados Financieros </w:t>
      </w:r>
      <w:r w:rsidR="00264AA3">
        <w:rPr>
          <w:rFonts w:cs="Calibri"/>
          <w:lang w:val="es-MX"/>
        </w:rPr>
        <w:t xml:space="preserve">de </w:t>
      </w:r>
      <w:r w:rsidR="00BD23D2">
        <w:rPr>
          <w:rFonts w:cs="Calibri"/>
          <w:lang w:val="es-MX"/>
        </w:rPr>
        <w:t>marzo</w:t>
      </w:r>
      <w:r w:rsidR="00264AA3">
        <w:rPr>
          <w:rFonts w:cs="Calibri"/>
          <w:lang w:val="es-MX"/>
        </w:rPr>
        <w:t xml:space="preserve"> 201</w:t>
      </w:r>
      <w:r w:rsidR="00BD23D2">
        <w:rPr>
          <w:rFonts w:cs="Calibri"/>
          <w:lang w:val="es-MX"/>
        </w:rPr>
        <w:t>9</w:t>
      </w:r>
      <w:r w:rsidRPr="00CF6B79">
        <w:rPr>
          <w:rFonts w:cs="Calibri"/>
          <w:lang w:val="es-MX"/>
        </w:rPr>
        <w:t>, seguidamente se refiere los resultados del estudio FODA (fortalezas, oportunidades, debilidades, amenazas) efectuado dentro de este informe:</w:t>
      </w:r>
    </w:p>
    <w:p w:rsidR="00E475D9" w:rsidRPr="00CF6B79" w:rsidRDefault="00E475D9" w:rsidP="00E475D9">
      <w:pPr>
        <w:spacing w:after="0"/>
        <w:jc w:val="both"/>
        <w:rPr>
          <w:rFonts w:cs="Calibri"/>
          <w:lang w:val="es-MX"/>
        </w:rPr>
      </w:pPr>
    </w:p>
    <w:p w:rsidR="00E475D9" w:rsidRPr="00CF6B79" w:rsidRDefault="00E475D9" w:rsidP="00E475D9">
      <w:pPr>
        <w:spacing w:after="0"/>
        <w:jc w:val="both"/>
        <w:rPr>
          <w:rFonts w:cs="Calibri"/>
          <w:b/>
          <w:lang w:val="es-MX"/>
        </w:rPr>
      </w:pPr>
      <w:r w:rsidRPr="00CF6B79">
        <w:rPr>
          <w:rFonts w:cs="Calibri"/>
          <w:b/>
          <w:lang w:val="es-MX"/>
        </w:rPr>
        <w:t>FORTALEZAS:</w:t>
      </w:r>
    </w:p>
    <w:p w:rsidR="00E475D9" w:rsidRPr="00CF6B79" w:rsidRDefault="00E475D9" w:rsidP="00E475D9">
      <w:pPr>
        <w:spacing w:after="0"/>
        <w:jc w:val="both"/>
        <w:rPr>
          <w:rFonts w:cs="Calibri"/>
          <w:lang w:val="es-MX"/>
        </w:rPr>
      </w:pPr>
      <w:r w:rsidRPr="00CF6B79">
        <w:rPr>
          <w:rFonts w:cs="Calibri"/>
          <w:lang w:val="es-MX"/>
        </w:rPr>
        <w:t>-Contar con el POA, tanto los recursos financieros como la planificación de estos para el desarrollo del plan estratégico.</w:t>
      </w:r>
    </w:p>
    <w:p w:rsidR="00E475D9" w:rsidRPr="00CF6B79" w:rsidRDefault="00E475D9" w:rsidP="00E475D9">
      <w:pPr>
        <w:spacing w:after="0"/>
        <w:jc w:val="both"/>
        <w:rPr>
          <w:rFonts w:cs="Calibri"/>
          <w:lang w:val="es-MX"/>
        </w:rPr>
      </w:pPr>
      <w:r w:rsidRPr="00CF6B79">
        <w:rPr>
          <w:rFonts w:cs="Calibri"/>
          <w:lang w:val="es-MX"/>
        </w:rPr>
        <w:t xml:space="preserve">-Recurso Humano capacitado y en </w:t>
      </w:r>
      <w:r w:rsidR="002A7BE5">
        <w:rPr>
          <w:rFonts w:cs="Calibri"/>
          <w:lang w:val="es-MX"/>
        </w:rPr>
        <w:t>continua</w:t>
      </w:r>
      <w:r w:rsidR="00C46F28">
        <w:rPr>
          <w:rFonts w:cs="Calibri"/>
          <w:lang w:val="es-MX"/>
        </w:rPr>
        <w:t xml:space="preserve"> </w:t>
      </w:r>
      <w:r w:rsidR="00C46F28" w:rsidRPr="00CF6B79">
        <w:rPr>
          <w:rFonts w:cs="Calibri"/>
          <w:lang w:val="es-MX"/>
        </w:rPr>
        <w:t>capacitación</w:t>
      </w:r>
      <w:r w:rsidRPr="00CF6B79">
        <w:rPr>
          <w:rFonts w:cs="Calibri"/>
          <w:lang w:val="es-MX"/>
        </w:rPr>
        <w:t>.</w:t>
      </w:r>
    </w:p>
    <w:p w:rsidR="0064349A" w:rsidRDefault="005D238F" w:rsidP="00E475D9">
      <w:pPr>
        <w:spacing w:after="0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>-Logr</w:t>
      </w:r>
      <w:r w:rsidR="00264AA3">
        <w:rPr>
          <w:rFonts w:cs="Calibri"/>
          <w:lang w:val="es-MX"/>
        </w:rPr>
        <w:t>a</w:t>
      </w:r>
      <w:r w:rsidR="00B96228">
        <w:rPr>
          <w:rFonts w:cs="Calibri"/>
          <w:lang w:val="es-MX"/>
        </w:rPr>
        <w:t>r</w:t>
      </w:r>
      <w:r>
        <w:rPr>
          <w:rFonts w:cs="Calibri"/>
          <w:lang w:val="es-MX"/>
        </w:rPr>
        <w:t xml:space="preserve"> obtener </w:t>
      </w:r>
      <w:r w:rsidR="00E475D9" w:rsidRPr="00CF6B79">
        <w:rPr>
          <w:rFonts w:cs="Calibri"/>
          <w:lang w:val="es-MX"/>
        </w:rPr>
        <w:t xml:space="preserve">una ejecución </w:t>
      </w:r>
      <w:r w:rsidR="00EB1080">
        <w:rPr>
          <w:rFonts w:cs="Calibri"/>
          <w:lang w:val="es-MX"/>
        </w:rPr>
        <w:t xml:space="preserve"> de los fondos de manera </w:t>
      </w:r>
      <w:r w:rsidR="00E475D9" w:rsidRPr="00CF6B79">
        <w:rPr>
          <w:rFonts w:cs="Calibri"/>
          <w:lang w:val="es-MX"/>
        </w:rPr>
        <w:t>razonable</w:t>
      </w:r>
      <w:r w:rsidR="00EB1080">
        <w:rPr>
          <w:rFonts w:cs="Calibri"/>
          <w:lang w:val="es-MX"/>
        </w:rPr>
        <w:t>.</w:t>
      </w:r>
      <w:r w:rsidR="00E475D9" w:rsidRPr="00CF6B79">
        <w:rPr>
          <w:rFonts w:cs="Calibri"/>
          <w:lang w:val="es-MX"/>
        </w:rPr>
        <w:t xml:space="preserve"> </w:t>
      </w:r>
    </w:p>
    <w:p w:rsidR="00EB1080" w:rsidRPr="00CF6B79" w:rsidRDefault="00EB1080" w:rsidP="00E475D9">
      <w:pPr>
        <w:spacing w:after="0"/>
        <w:jc w:val="both"/>
        <w:rPr>
          <w:rFonts w:cs="Calibri"/>
          <w:lang w:val="es-MX"/>
        </w:rPr>
      </w:pPr>
    </w:p>
    <w:p w:rsidR="00E475D9" w:rsidRPr="00CF6B79" w:rsidRDefault="00E475D9" w:rsidP="00E475D9">
      <w:pPr>
        <w:spacing w:after="0"/>
        <w:jc w:val="both"/>
        <w:rPr>
          <w:rFonts w:cs="Calibri"/>
          <w:b/>
          <w:lang w:val="es-MX"/>
        </w:rPr>
      </w:pPr>
      <w:r w:rsidRPr="00CF6B79">
        <w:rPr>
          <w:rFonts w:cs="Calibri"/>
          <w:b/>
          <w:lang w:val="es-MX"/>
        </w:rPr>
        <w:t>OPORTUNIDADES:</w:t>
      </w:r>
    </w:p>
    <w:p w:rsidR="00E475D9" w:rsidRPr="00CF6B79" w:rsidRDefault="00E475D9" w:rsidP="00E475D9">
      <w:pPr>
        <w:spacing w:after="0"/>
        <w:jc w:val="both"/>
        <w:rPr>
          <w:rFonts w:cs="Calibri"/>
          <w:lang w:val="es-MX"/>
        </w:rPr>
      </w:pPr>
      <w:r w:rsidRPr="00CF6B79">
        <w:rPr>
          <w:rFonts w:cs="Calibri"/>
          <w:lang w:val="es-MX"/>
        </w:rPr>
        <w:t>-Obtener recursos de otros sectores.</w:t>
      </w:r>
    </w:p>
    <w:p w:rsidR="00E475D9" w:rsidRDefault="00E475D9" w:rsidP="00E475D9">
      <w:pPr>
        <w:spacing w:after="0"/>
        <w:jc w:val="both"/>
        <w:rPr>
          <w:rFonts w:cs="Calibri"/>
          <w:lang w:val="es-MX"/>
        </w:rPr>
      </w:pPr>
      <w:r w:rsidRPr="00CF6B79">
        <w:rPr>
          <w:rFonts w:cs="Calibri"/>
          <w:lang w:val="es-MX"/>
        </w:rPr>
        <w:t>-Contratación laboral de los mismos estudiantes que se forman en la Universidad.</w:t>
      </w:r>
    </w:p>
    <w:p w:rsidR="009C4B8E" w:rsidRDefault="00EE462D" w:rsidP="00E475D9">
      <w:pPr>
        <w:spacing w:after="0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>-</w:t>
      </w:r>
      <w:r w:rsidR="00EB1080">
        <w:rPr>
          <w:rFonts w:cs="Calibri"/>
          <w:lang w:val="es-MX"/>
        </w:rPr>
        <w:t xml:space="preserve"> </w:t>
      </w:r>
      <w:r w:rsidR="009C4B8E">
        <w:rPr>
          <w:rFonts w:cs="Calibri"/>
          <w:lang w:val="es-MX"/>
        </w:rPr>
        <w:t>-Mayor venta de servicios</w:t>
      </w:r>
    </w:p>
    <w:p w:rsidR="00E475D9" w:rsidRPr="00CF6B79" w:rsidRDefault="00E475D9" w:rsidP="00E475D9">
      <w:pPr>
        <w:spacing w:after="0"/>
        <w:jc w:val="both"/>
        <w:rPr>
          <w:rFonts w:cs="Calibri"/>
          <w:lang w:val="es-MX"/>
        </w:rPr>
      </w:pPr>
    </w:p>
    <w:p w:rsidR="00506A71" w:rsidRDefault="00506A71" w:rsidP="00E475D9">
      <w:pPr>
        <w:spacing w:after="0"/>
        <w:jc w:val="both"/>
        <w:rPr>
          <w:rFonts w:cs="Calibri"/>
          <w:b/>
          <w:lang w:val="es-MX"/>
        </w:rPr>
      </w:pPr>
    </w:p>
    <w:p w:rsidR="00E475D9" w:rsidRPr="00CF6B79" w:rsidRDefault="00E475D9" w:rsidP="00E475D9">
      <w:pPr>
        <w:spacing w:after="0"/>
        <w:jc w:val="both"/>
        <w:rPr>
          <w:rFonts w:cs="Calibri"/>
          <w:b/>
          <w:lang w:val="es-MX"/>
        </w:rPr>
      </w:pPr>
      <w:r w:rsidRPr="00CF6B79">
        <w:rPr>
          <w:rFonts w:cs="Calibri"/>
          <w:b/>
          <w:lang w:val="es-MX"/>
        </w:rPr>
        <w:t>DEBILIDADES</w:t>
      </w:r>
    </w:p>
    <w:p w:rsidR="00E475D9" w:rsidRPr="00CF6B79" w:rsidRDefault="00E475D9" w:rsidP="00E475D9">
      <w:pPr>
        <w:spacing w:after="0"/>
        <w:jc w:val="both"/>
        <w:rPr>
          <w:rFonts w:cs="Calibri"/>
          <w:lang w:val="es-MX"/>
        </w:rPr>
      </w:pPr>
      <w:r w:rsidRPr="00CF6B79">
        <w:rPr>
          <w:rFonts w:cs="Calibri"/>
          <w:lang w:val="es-MX"/>
        </w:rPr>
        <w:lastRenderedPageBreak/>
        <w:t xml:space="preserve">-Ingresos dependen de forma importante del FEES, no se generan recursos propios de forma </w:t>
      </w:r>
      <w:r w:rsidR="00EB1080">
        <w:rPr>
          <w:rFonts w:cs="Calibri"/>
          <w:lang w:val="es-MX"/>
        </w:rPr>
        <w:t>significativa</w:t>
      </w:r>
      <w:r w:rsidRPr="00CF6B79">
        <w:rPr>
          <w:rFonts w:cs="Calibri"/>
          <w:lang w:val="es-MX"/>
        </w:rPr>
        <w:t>.</w:t>
      </w:r>
    </w:p>
    <w:p w:rsidR="00E475D9" w:rsidRPr="00CF6B79" w:rsidRDefault="00E475D9" w:rsidP="00E475D9">
      <w:pPr>
        <w:spacing w:after="0"/>
        <w:jc w:val="both"/>
        <w:rPr>
          <w:rFonts w:cs="Calibri"/>
          <w:lang w:val="es-MX"/>
        </w:rPr>
      </w:pPr>
      <w:r w:rsidRPr="00CF6B79">
        <w:rPr>
          <w:rFonts w:cs="Calibri"/>
          <w:lang w:val="es-MX"/>
        </w:rPr>
        <w:t>-Los recursos específicos en el tiempo han tenido una baja ejecución.</w:t>
      </w:r>
    </w:p>
    <w:p w:rsidR="00E475D9" w:rsidRDefault="00E475D9" w:rsidP="00E475D9">
      <w:pPr>
        <w:spacing w:after="0"/>
        <w:jc w:val="both"/>
        <w:rPr>
          <w:rFonts w:cs="Calibri"/>
          <w:lang w:val="es-MX"/>
        </w:rPr>
      </w:pPr>
    </w:p>
    <w:p w:rsidR="00E475D9" w:rsidRPr="00CF6B79" w:rsidRDefault="00E475D9" w:rsidP="00E475D9">
      <w:pPr>
        <w:spacing w:after="0"/>
        <w:jc w:val="both"/>
        <w:rPr>
          <w:rFonts w:cs="Calibri"/>
          <w:b/>
          <w:lang w:val="es-MX"/>
        </w:rPr>
      </w:pPr>
      <w:r w:rsidRPr="00CF6B79">
        <w:rPr>
          <w:rFonts w:cs="Calibri"/>
          <w:b/>
          <w:lang w:val="es-MX"/>
        </w:rPr>
        <w:t>AMENAZAS:</w:t>
      </w:r>
    </w:p>
    <w:p w:rsidR="00E475D9" w:rsidRDefault="005051D7" w:rsidP="00E475D9">
      <w:pPr>
        <w:spacing w:after="0"/>
        <w:jc w:val="both"/>
        <w:rPr>
          <w:rFonts w:cs="Calibri"/>
          <w:lang w:val="es-MX"/>
        </w:rPr>
      </w:pPr>
      <w:r w:rsidRPr="00CF6B79">
        <w:rPr>
          <w:rFonts w:cs="Calibri"/>
          <w:lang w:val="es-MX"/>
        </w:rPr>
        <w:t xml:space="preserve"> </w:t>
      </w:r>
      <w:r w:rsidR="00E475D9" w:rsidRPr="00CF6B79">
        <w:rPr>
          <w:rFonts w:cs="Calibri"/>
          <w:lang w:val="es-MX"/>
        </w:rPr>
        <w:t>-</w:t>
      </w:r>
      <w:r w:rsidR="00E475D9">
        <w:rPr>
          <w:rFonts w:cs="Calibri"/>
          <w:lang w:val="es-MX"/>
        </w:rPr>
        <w:t>Que la</w:t>
      </w:r>
      <w:r w:rsidR="00E475D9" w:rsidRPr="00CF6B79">
        <w:rPr>
          <w:rFonts w:cs="Calibri"/>
          <w:lang w:val="es-MX"/>
        </w:rPr>
        <w:t xml:space="preserve">s Universidades del sector privado </w:t>
      </w:r>
      <w:r w:rsidR="007809B0">
        <w:rPr>
          <w:rFonts w:cs="Calibri"/>
          <w:lang w:val="es-MX"/>
        </w:rPr>
        <w:t xml:space="preserve">acaparen un sector de </w:t>
      </w:r>
      <w:r w:rsidR="00E475D9">
        <w:rPr>
          <w:rFonts w:cs="Calibri"/>
          <w:lang w:val="es-MX"/>
        </w:rPr>
        <w:t xml:space="preserve"> </w:t>
      </w:r>
      <w:r w:rsidR="00E475D9" w:rsidRPr="00CF6B79">
        <w:rPr>
          <w:rFonts w:cs="Calibri"/>
          <w:lang w:val="es-MX"/>
        </w:rPr>
        <w:t>los estudiantes</w:t>
      </w:r>
      <w:r w:rsidR="00E475D9">
        <w:rPr>
          <w:rFonts w:cs="Calibri"/>
          <w:lang w:val="es-MX"/>
        </w:rPr>
        <w:t xml:space="preserve"> </w:t>
      </w:r>
      <w:r w:rsidR="00E475D9" w:rsidRPr="00CF6B79">
        <w:rPr>
          <w:rFonts w:cs="Calibri"/>
          <w:lang w:val="es-MX"/>
        </w:rPr>
        <w:t>que pagan en la Universidad</w:t>
      </w:r>
      <w:r w:rsidR="00E475D9">
        <w:rPr>
          <w:rFonts w:cs="Calibri"/>
          <w:lang w:val="es-MX"/>
        </w:rPr>
        <w:t>, en ese sentido se desfinancia el Fondo de Becas</w:t>
      </w:r>
      <w:r w:rsidR="00E475D9" w:rsidRPr="00CF6B79">
        <w:rPr>
          <w:rFonts w:cs="Calibri"/>
          <w:lang w:val="es-MX"/>
        </w:rPr>
        <w:t>.</w:t>
      </w:r>
    </w:p>
    <w:p w:rsidR="00C2146F" w:rsidRPr="00CF6B79" w:rsidRDefault="00C2146F" w:rsidP="00E475D9">
      <w:pPr>
        <w:spacing w:after="0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>-Políticamente las universidades públicas se han visto afectadas con la asignación de recursos para su financiamiento.</w:t>
      </w: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0D54DB" w:rsidRDefault="000D54DB" w:rsidP="00E475D9">
      <w:pPr>
        <w:spacing w:after="0"/>
        <w:ind w:left="360"/>
        <w:jc w:val="both"/>
        <w:rPr>
          <w:rFonts w:cs="Calibri"/>
          <w:lang w:val="es-MX"/>
        </w:rPr>
      </w:pPr>
    </w:p>
    <w:p w:rsidR="00EB1080" w:rsidRDefault="00EB1080" w:rsidP="00E475D9">
      <w:pPr>
        <w:spacing w:after="0"/>
        <w:ind w:left="360"/>
        <w:jc w:val="both"/>
        <w:rPr>
          <w:rFonts w:cs="Calibri"/>
          <w:lang w:val="es-MX"/>
        </w:rPr>
      </w:pPr>
    </w:p>
    <w:p w:rsidR="00EB1080" w:rsidRDefault="00EB1080" w:rsidP="00E475D9">
      <w:pPr>
        <w:spacing w:after="0"/>
        <w:ind w:left="360"/>
        <w:jc w:val="both"/>
        <w:rPr>
          <w:rFonts w:cs="Calibri"/>
          <w:lang w:val="es-MX"/>
        </w:rPr>
      </w:pPr>
    </w:p>
    <w:p w:rsidR="00EB1080" w:rsidRDefault="00EB1080" w:rsidP="00E475D9">
      <w:pPr>
        <w:spacing w:after="0"/>
        <w:ind w:left="360"/>
        <w:jc w:val="both"/>
        <w:rPr>
          <w:rFonts w:cs="Calibri"/>
          <w:lang w:val="es-MX"/>
        </w:rPr>
      </w:pPr>
    </w:p>
    <w:p w:rsidR="00EB1080" w:rsidRDefault="00EB1080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FA268F" w:rsidP="00E475D9">
      <w:pPr>
        <w:spacing w:after="0"/>
        <w:ind w:left="360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>Elaborado</w:t>
      </w:r>
      <w:r w:rsidR="002A7BE5">
        <w:rPr>
          <w:rFonts w:cs="Calibri"/>
          <w:lang w:val="es-MX"/>
        </w:rPr>
        <w:t>: Vera</w:t>
      </w:r>
      <w:r>
        <w:rPr>
          <w:rFonts w:cs="Calibri"/>
          <w:lang w:val="es-MX"/>
        </w:rPr>
        <w:t xml:space="preserve"> Agüero Valverde</w:t>
      </w:r>
    </w:p>
    <w:p w:rsidR="009543E2" w:rsidRDefault="009543E2" w:rsidP="00E475D9">
      <w:pPr>
        <w:spacing w:after="0"/>
        <w:ind w:left="360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 xml:space="preserve">                     Jefe </w:t>
      </w:r>
      <w:proofErr w:type="spellStart"/>
      <w:r>
        <w:rPr>
          <w:rFonts w:cs="Calibri"/>
          <w:lang w:val="es-MX"/>
        </w:rPr>
        <w:t>a.i.</w:t>
      </w:r>
      <w:proofErr w:type="spellEnd"/>
      <w:r>
        <w:rPr>
          <w:rFonts w:cs="Calibri"/>
          <w:lang w:val="es-MX"/>
        </w:rPr>
        <w:t xml:space="preserve"> Sección de Contabilidad</w:t>
      </w:r>
    </w:p>
    <w:p w:rsidR="009543E2" w:rsidRDefault="00B96228" w:rsidP="00E475D9">
      <w:pPr>
        <w:spacing w:after="0"/>
        <w:ind w:left="360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 xml:space="preserve">                     </w:t>
      </w:r>
      <w:r w:rsidR="00BD23D2">
        <w:rPr>
          <w:rFonts w:cs="Calibri"/>
          <w:lang w:val="es-MX"/>
        </w:rPr>
        <w:t>10</w:t>
      </w:r>
      <w:r>
        <w:rPr>
          <w:rFonts w:cs="Calibri"/>
          <w:lang w:val="es-MX"/>
        </w:rPr>
        <w:t>-</w:t>
      </w:r>
      <w:r w:rsidR="00080AAC">
        <w:rPr>
          <w:rFonts w:cs="Calibri"/>
          <w:lang w:val="es-MX"/>
        </w:rPr>
        <w:t>0</w:t>
      </w:r>
      <w:r w:rsidR="00BD23D2">
        <w:rPr>
          <w:rFonts w:cs="Calibri"/>
          <w:lang w:val="es-MX"/>
        </w:rPr>
        <w:t>4</w:t>
      </w:r>
      <w:r>
        <w:rPr>
          <w:rFonts w:cs="Calibri"/>
          <w:lang w:val="es-MX"/>
        </w:rPr>
        <w:t>-201</w:t>
      </w:r>
      <w:r w:rsidR="00080AAC">
        <w:rPr>
          <w:rFonts w:cs="Calibri"/>
          <w:lang w:val="es-MX"/>
        </w:rPr>
        <w:t>9</w:t>
      </w:r>
    </w:p>
    <w:p w:rsidR="009543E2" w:rsidRDefault="009543E2" w:rsidP="00E475D9">
      <w:pPr>
        <w:spacing w:after="0"/>
        <w:ind w:left="360"/>
        <w:jc w:val="both"/>
        <w:rPr>
          <w:rFonts w:cs="Calibri"/>
          <w:lang w:val="es-MX"/>
        </w:rPr>
      </w:pPr>
    </w:p>
    <w:p w:rsidR="009543E2" w:rsidRDefault="009543E2" w:rsidP="00E475D9">
      <w:pPr>
        <w:spacing w:after="0"/>
        <w:ind w:left="360"/>
        <w:jc w:val="both"/>
        <w:rPr>
          <w:rFonts w:cs="Calibri"/>
          <w:lang w:val="es-MX"/>
        </w:rPr>
      </w:pPr>
    </w:p>
    <w:p w:rsidR="009543E2" w:rsidRDefault="009543E2" w:rsidP="00E475D9">
      <w:pPr>
        <w:spacing w:after="0"/>
        <w:ind w:left="360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>Aprobado</w:t>
      </w:r>
      <w:r w:rsidR="002A7BE5">
        <w:rPr>
          <w:rFonts w:cs="Calibri"/>
          <w:lang w:val="es-MX"/>
        </w:rPr>
        <w:t xml:space="preserve">: </w:t>
      </w:r>
      <w:r w:rsidR="00BD23D2">
        <w:rPr>
          <w:rFonts w:cs="Calibri"/>
          <w:lang w:val="es-MX"/>
        </w:rPr>
        <w:t>Marly Alfaro Salas</w:t>
      </w:r>
    </w:p>
    <w:p w:rsidR="009543E2" w:rsidRDefault="009543E2" w:rsidP="00E475D9">
      <w:pPr>
        <w:spacing w:after="0"/>
        <w:ind w:left="360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 xml:space="preserve">                  </w:t>
      </w:r>
      <w:r w:rsidR="0090264B">
        <w:rPr>
          <w:rFonts w:cs="Calibri"/>
          <w:lang w:val="es-MX"/>
        </w:rPr>
        <w:t xml:space="preserve">   </w:t>
      </w:r>
      <w:r w:rsidR="00BD23D2">
        <w:rPr>
          <w:rFonts w:cs="Calibri"/>
          <w:lang w:val="es-MX"/>
        </w:rPr>
        <w:t>Sub-</w:t>
      </w:r>
      <w:r w:rsidR="0090264B">
        <w:rPr>
          <w:rFonts w:cs="Calibri"/>
          <w:lang w:val="es-MX"/>
        </w:rPr>
        <w:t>Directora Programa Gestión Financiera</w:t>
      </w:r>
    </w:p>
    <w:p w:rsidR="002B1E80" w:rsidRDefault="00B96228" w:rsidP="00E475D9">
      <w:pPr>
        <w:spacing w:after="0"/>
        <w:ind w:left="360"/>
        <w:jc w:val="both"/>
        <w:rPr>
          <w:rFonts w:cs="Calibri"/>
          <w:lang w:val="es-MX"/>
        </w:rPr>
      </w:pPr>
      <w:r>
        <w:rPr>
          <w:rFonts w:cs="Calibri"/>
          <w:lang w:val="es-MX"/>
        </w:rPr>
        <w:t xml:space="preserve">                     Fecha:</w:t>
      </w:r>
    </w:p>
    <w:p w:rsidR="002B1E80" w:rsidRDefault="002B1E80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Pr="00CF6B7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E475D9" w:rsidRDefault="00E475D9" w:rsidP="00E475D9">
      <w:pPr>
        <w:spacing w:after="0"/>
        <w:ind w:left="360"/>
        <w:jc w:val="both"/>
        <w:rPr>
          <w:rFonts w:cs="Calibri"/>
          <w:lang w:val="es-MX"/>
        </w:rPr>
      </w:pPr>
    </w:p>
    <w:p w:rsidR="00637F8A" w:rsidRPr="00E475D9" w:rsidRDefault="00637F8A">
      <w:pPr>
        <w:rPr>
          <w:lang w:val="es-MX"/>
        </w:rPr>
      </w:pPr>
    </w:p>
    <w:sectPr w:rsidR="00637F8A" w:rsidRPr="00E475D9" w:rsidSect="00637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388"/>
    <w:multiLevelType w:val="multilevel"/>
    <w:tmpl w:val="62FE199C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color w:val="auto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Calibri" w:hint="default"/>
        <w:color w:val="auto"/>
      </w:rPr>
    </w:lvl>
  </w:abstractNum>
  <w:abstractNum w:abstractNumId="1" w15:restartNumberingAfterBreak="0">
    <w:nsid w:val="3B846876"/>
    <w:multiLevelType w:val="multilevel"/>
    <w:tmpl w:val="1FEC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9103F0"/>
    <w:multiLevelType w:val="multilevel"/>
    <w:tmpl w:val="0C0A001F"/>
    <w:numStyleLink w:val="Estilo1"/>
  </w:abstractNum>
  <w:abstractNum w:abstractNumId="3" w15:restartNumberingAfterBreak="0">
    <w:nsid w:val="60C93CB0"/>
    <w:multiLevelType w:val="hybridMultilevel"/>
    <w:tmpl w:val="C6EE0CCA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2E3592"/>
    <w:multiLevelType w:val="multilevel"/>
    <w:tmpl w:val="0C0A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CA1287"/>
    <w:multiLevelType w:val="multilevel"/>
    <w:tmpl w:val="F0F695E4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color w:val="auto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Calibri"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D9"/>
    <w:rsid w:val="000067BC"/>
    <w:rsid w:val="00010094"/>
    <w:rsid w:val="000121B1"/>
    <w:rsid w:val="000121DC"/>
    <w:rsid w:val="00014318"/>
    <w:rsid w:val="000152A4"/>
    <w:rsid w:val="00017E79"/>
    <w:rsid w:val="00021BC8"/>
    <w:rsid w:val="0002243A"/>
    <w:rsid w:val="0002518A"/>
    <w:rsid w:val="00031F1F"/>
    <w:rsid w:val="0003312D"/>
    <w:rsid w:val="000403C8"/>
    <w:rsid w:val="0004313B"/>
    <w:rsid w:val="00052943"/>
    <w:rsid w:val="00055398"/>
    <w:rsid w:val="00055B3B"/>
    <w:rsid w:val="00056807"/>
    <w:rsid w:val="00056AA7"/>
    <w:rsid w:val="00064697"/>
    <w:rsid w:val="000667E6"/>
    <w:rsid w:val="000735A4"/>
    <w:rsid w:val="00077365"/>
    <w:rsid w:val="00077B5C"/>
    <w:rsid w:val="00080627"/>
    <w:rsid w:val="00080AAC"/>
    <w:rsid w:val="00087CE2"/>
    <w:rsid w:val="00090A04"/>
    <w:rsid w:val="00095F73"/>
    <w:rsid w:val="00096E52"/>
    <w:rsid w:val="000A2F69"/>
    <w:rsid w:val="000B1C3A"/>
    <w:rsid w:val="000C2F4C"/>
    <w:rsid w:val="000C670A"/>
    <w:rsid w:val="000D235B"/>
    <w:rsid w:val="000D54DB"/>
    <w:rsid w:val="000E0689"/>
    <w:rsid w:val="000E1958"/>
    <w:rsid w:val="000E1A24"/>
    <w:rsid w:val="000E1F18"/>
    <w:rsid w:val="000E2F0B"/>
    <w:rsid w:val="000E39C4"/>
    <w:rsid w:val="000F0DD3"/>
    <w:rsid w:val="00102E49"/>
    <w:rsid w:val="00120DCB"/>
    <w:rsid w:val="00122417"/>
    <w:rsid w:val="00123451"/>
    <w:rsid w:val="00124804"/>
    <w:rsid w:val="0012640D"/>
    <w:rsid w:val="00126FCD"/>
    <w:rsid w:val="00133014"/>
    <w:rsid w:val="00135C6E"/>
    <w:rsid w:val="00136226"/>
    <w:rsid w:val="00136A87"/>
    <w:rsid w:val="00137C55"/>
    <w:rsid w:val="001451DD"/>
    <w:rsid w:val="001524FB"/>
    <w:rsid w:val="0015723D"/>
    <w:rsid w:val="00167577"/>
    <w:rsid w:val="001675B5"/>
    <w:rsid w:val="00171C23"/>
    <w:rsid w:val="001773B5"/>
    <w:rsid w:val="0018075E"/>
    <w:rsid w:val="00183B1E"/>
    <w:rsid w:val="00195FE8"/>
    <w:rsid w:val="00196AF1"/>
    <w:rsid w:val="001A1008"/>
    <w:rsid w:val="001A2351"/>
    <w:rsid w:val="001A331B"/>
    <w:rsid w:val="001A7FAD"/>
    <w:rsid w:val="001B253F"/>
    <w:rsid w:val="001B3DAA"/>
    <w:rsid w:val="001B696F"/>
    <w:rsid w:val="001C0CE0"/>
    <w:rsid w:val="001C109E"/>
    <w:rsid w:val="001C2C46"/>
    <w:rsid w:val="001C408C"/>
    <w:rsid w:val="001C49CA"/>
    <w:rsid w:val="001C52CA"/>
    <w:rsid w:val="001C56E1"/>
    <w:rsid w:val="001C7CB0"/>
    <w:rsid w:val="001D7080"/>
    <w:rsid w:val="001D74AE"/>
    <w:rsid w:val="001D7EF3"/>
    <w:rsid w:val="001E14DA"/>
    <w:rsid w:val="001E1618"/>
    <w:rsid w:val="001E196C"/>
    <w:rsid w:val="001E5457"/>
    <w:rsid w:val="001E7325"/>
    <w:rsid w:val="001F06D9"/>
    <w:rsid w:val="001F0E38"/>
    <w:rsid w:val="001F2B9C"/>
    <w:rsid w:val="001F41C1"/>
    <w:rsid w:val="0020325D"/>
    <w:rsid w:val="0020413F"/>
    <w:rsid w:val="002066F6"/>
    <w:rsid w:val="00207FBA"/>
    <w:rsid w:val="00212109"/>
    <w:rsid w:val="00215AE7"/>
    <w:rsid w:val="002244BE"/>
    <w:rsid w:val="00230FC6"/>
    <w:rsid w:val="00231E9D"/>
    <w:rsid w:val="00233D57"/>
    <w:rsid w:val="00235803"/>
    <w:rsid w:val="00252FA9"/>
    <w:rsid w:val="00256BD0"/>
    <w:rsid w:val="00264AA3"/>
    <w:rsid w:val="00264D57"/>
    <w:rsid w:val="00271D75"/>
    <w:rsid w:val="00272B32"/>
    <w:rsid w:val="002756B1"/>
    <w:rsid w:val="00286597"/>
    <w:rsid w:val="00287868"/>
    <w:rsid w:val="002906BF"/>
    <w:rsid w:val="00290B81"/>
    <w:rsid w:val="00291FAC"/>
    <w:rsid w:val="00294B2D"/>
    <w:rsid w:val="002A47AE"/>
    <w:rsid w:val="002A4E67"/>
    <w:rsid w:val="002A7BE5"/>
    <w:rsid w:val="002B1E80"/>
    <w:rsid w:val="002B5464"/>
    <w:rsid w:val="002B793E"/>
    <w:rsid w:val="002D0329"/>
    <w:rsid w:val="002D16D0"/>
    <w:rsid w:val="002D7E64"/>
    <w:rsid w:val="002E0285"/>
    <w:rsid w:val="002E36B4"/>
    <w:rsid w:val="002E42EA"/>
    <w:rsid w:val="002E57BA"/>
    <w:rsid w:val="002F0C48"/>
    <w:rsid w:val="003012C7"/>
    <w:rsid w:val="00313C50"/>
    <w:rsid w:val="00314EA8"/>
    <w:rsid w:val="00317AA8"/>
    <w:rsid w:val="00325FD5"/>
    <w:rsid w:val="0032632B"/>
    <w:rsid w:val="00342973"/>
    <w:rsid w:val="00344059"/>
    <w:rsid w:val="00347F80"/>
    <w:rsid w:val="003522F2"/>
    <w:rsid w:val="0035481A"/>
    <w:rsid w:val="00361E29"/>
    <w:rsid w:val="003644EB"/>
    <w:rsid w:val="00373FC0"/>
    <w:rsid w:val="003819B8"/>
    <w:rsid w:val="00381B89"/>
    <w:rsid w:val="00384668"/>
    <w:rsid w:val="0039145A"/>
    <w:rsid w:val="003948DF"/>
    <w:rsid w:val="003A10E2"/>
    <w:rsid w:val="003A29E2"/>
    <w:rsid w:val="003A3B0B"/>
    <w:rsid w:val="003B78FC"/>
    <w:rsid w:val="003D53AA"/>
    <w:rsid w:val="003D7436"/>
    <w:rsid w:val="003E14AB"/>
    <w:rsid w:val="003E16C8"/>
    <w:rsid w:val="003E1F3A"/>
    <w:rsid w:val="003E356E"/>
    <w:rsid w:val="003E6FC5"/>
    <w:rsid w:val="003F408A"/>
    <w:rsid w:val="003F54D0"/>
    <w:rsid w:val="003F60F8"/>
    <w:rsid w:val="003F79E8"/>
    <w:rsid w:val="004016DB"/>
    <w:rsid w:val="00410435"/>
    <w:rsid w:val="00414B22"/>
    <w:rsid w:val="00424797"/>
    <w:rsid w:val="00424925"/>
    <w:rsid w:val="00424985"/>
    <w:rsid w:val="00434DC3"/>
    <w:rsid w:val="004410C4"/>
    <w:rsid w:val="0044116D"/>
    <w:rsid w:val="00443F62"/>
    <w:rsid w:val="00450048"/>
    <w:rsid w:val="004513D9"/>
    <w:rsid w:val="00465B5D"/>
    <w:rsid w:val="00471301"/>
    <w:rsid w:val="004729CE"/>
    <w:rsid w:val="00484459"/>
    <w:rsid w:val="00485DB4"/>
    <w:rsid w:val="004909F4"/>
    <w:rsid w:val="00494976"/>
    <w:rsid w:val="00495B1F"/>
    <w:rsid w:val="004A36C5"/>
    <w:rsid w:val="004A7290"/>
    <w:rsid w:val="004B0C9D"/>
    <w:rsid w:val="004B4133"/>
    <w:rsid w:val="004B4C07"/>
    <w:rsid w:val="004B7234"/>
    <w:rsid w:val="004C527F"/>
    <w:rsid w:val="004C52E6"/>
    <w:rsid w:val="004C72B9"/>
    <w:rsid w:val="004D15AD"/>
    <w:rsid w:val="004D2334"/>
    <w:rsid w:val="004E1C06"/>
    <w:rsid w:val="004E4C61"/>
    <w:rsid w:val="004E632E"/>
    <w:rsid w:val="004F2381"/>
    <w:rsid w:val="00503199"/>
    <w:rsid w:val="005031D8"/>
    <w:rsid w:val="00504070"/>
    <w:rsid w:val="0050502F"/>
    <w:rsid w:val="005051D7"/>
    <w:rsid w:val="00506A71"/>
    <w:rsid w:val="005100EA"/>
    <w:rsid w:val="0051477B"/>
    <w:rsid w:val="00516E6B"/>
    <w:rsid w:val="00520290"/>
    <w:rsid w:val="00521729"/>
    <w:rsid w:val="00521FD2"/>
    <w:rsid w:val="0052626F"/>
    <w:rsid w:val="005357D0"/>
    <w:rsid w:val="0053756A"/>
    <w:rsid w:val="00541E06"/>
    <w:rsid w:val="0054536C"/>
    <w:rsid w:val="0055079F"/>
    <w:rsid w:val="005534AE"/>
    <w:rsid w:val="00562A1C"/>
    <w:rsid w:val="00565151"/>
    <w:rsid w:val="00566855"/>
    <w:rsid w:val="0057588E"/>
    <w:rsid w:val="00581159"/>
    <w:rsid w:val="005821BC"/>
    <w:rsid w:val="00585D96"/>
    <w:rsid w:val="00586E25"/>
    <w:rsid w:val="00590F04"/>
    <w:rsid w:val="00590F22"/>
    <w:rsid w:val="005A1CD1"/>
    <w:rsid w:val="005A1F91"/>
    <w:rsid w:val="005A51FE"/>
    <w:rsid w:val="005A6357"/>
    <w:rsid w:val="005A7191"/>
    <w:rsid w:val="005B3C8F"/>
    <w:rsid w:val="005B786D"/>
    <w:rsid w:val="005C1893"/>
    <w:rsid w:val="005D238F"/>
    <w:rsid w:val="005D33B8"/>
    <w:rsid w:val="005D34E6"/>
    <w:rsid w:val="005D632C"/>
    <w:rsid w:val="005E1837"/>
    <w:rsid w:val="005E5D47"/>
    <w:rsid w:val="006050E3"/>
    <w:rsid w:val="00606D07"/>
    <w:rsid w:val="00606F1F"/>
    <w:rsid w:val="00607831"/>
    <w:rsid w:val="00610652"/>
    <w:rsid w:val="006121B4"/>
    <w:rsid w:val="00614251"/>
    <w:rsid w:val="006161A6"/>
    <w:rsid w:val="0061768D"/>
    <w:rsid w:val="006213A6"/>
    <w:rsid w:val="006227D9"/>
    <w:rsid w:val="00622F69"/>
    <w:rsid w:val="00622F8F"/>
    <w:rsid w:val="00627B6B"/>
    <w:rsid w:val="00627DEA"/>
    <w:rsid w:val="00631312"/>
    <w:rsid w:val="006313D2"/>
    <w:rsid w:val="0063418D"/>
    <w:rsid w:val="00634824"/>
    <w:rsid w:val="00637F8A"/>
    <w:rsid w:val="0064349A"/>
    <w:rsid w:val="00647204"/>
    <w:rsid w:val="00651346"/>
    <w:rsid w:val="006516B3"/>
    <w:rsid w:val="006562CA"/>
    <w:rsid w:val="006612DB"/>
    <w:rsid w:val="00661F87"/>
    <w:rsid w:val="00664375"/>
    <w:rsid w:val="00670184"/>
    <w:rsid w:val="0067614B"/>
    <w:rsid w:val="0067628C"/>
    <w:rsid w:val="00676A40"/>
    <w:rsid w:val="00681878"/>
    <w:rsid w:val="00683ADB"/>
    <w:rsid w:val="00691AF3"/>
    <w:rsid w:val="00696D43"/>
    <w:rsid w:val="00697206"/>
    <w:rsid w:val="006A075F"/>
    <w:rsid w:val="006A7C36"/>
    <w:rsid w:val="006B0980"/>
    <w:rsid w:val="006B4320"/>
    <w:rsid w:val="006C087F"/>
    <w:rsid w:val="006C7EDB"/>
    <w:rsid w:val="006D04DF"/>
    <w:rsid w:val="006E1C85"/>
    <w:rsid w:val="006E2862"/>
    <w:rsid w:val="006E3CB0"/>
    <w:rsid w:val="006E4A42"/>
    <w:rsid w:val="006F0B4F"/>
    <w:rsid w:val="006F472F"/>
    <w:rsid w:val="006F587F"/>
    <w:rsid w:val="006F5C84"/>
    <w:rsid w:val="007016A6"/>
    <w:rsid w:val="00702DFE"/>
    <w:rsid w:val="00704248"/>
    <w:rsid w:val="0071142D"/>
    <w:rsid w:val="007117AD"/>
    <w:rsid w:val="00711AE0"/>
    <w:rsid w:val="0071403D"/>
    <w:rsid w:val="00714944"/>
    <w:rsid w:val="00715065"/>
    <w:rsid w:val="00715E47"/>
    <w:rsid w:val="00722E00"/>
    <w:rsid w:val="007244B8"/>
    <w:rsid w:val="0072704D"/>
    <w:rsid w:val="0073234C"/>
    <w:rsid w:val="00732469"/>
    <w:rsid w:val="007350D4"/>
    <w:rsid w:val="00747FD0"/>
    <w:rsid w:val="007547AB"/>
    <w:rsid w:val="007556C5"/>
    <w:rsid w:val="00760967"/>
    <w:rsid w:val="00766706"/>
    <w:rsid w:val="00772AE6"/>
    <w:rsid w:val="00776488"/>
    <w:rsid w:val="007809B0"/>
    <w:rsid w:val="0078161D"/>
    <w:rsid w:val="0078472A"/>
    <w:rsid w:val="00790351"/>
    <w:rsid w:val="00793895"/>
    <w:rsid w:val="007942DB"/>
    <w:rsid w:val="00794A81"/>
    <w:rsid w:val="00795D08"/>
    <w:rsid w:val="007A5D4D"/>
    <w:rsid w:val="007B245D"/>
    <w:rsid w:val="007B29A8"/>
    <w:rsid w:val="007B693A"/>
    <w:rsid w:val="007C2473"/>
    <w:rsid w:val="007C46D6"/>
    <w:rsid w:val="007C7E57"/>
    <w:rsid w:val="007E3A08"/>
    <w:rsid w:val="007E4247"/>
    <w:rsid w:val="007E6A14"/>
    <w:rsid w:val="007F02F9"/>
    <w:rsid w:val="007F0C6F"/>
    <w:rsid w:val="007F19B1"/>
    <w:rsid w:val="007F1AA5"/>
    <w:rsid w:val="007F5209"/>
    <w:rsid w:val="00806D7E"/>
    <w:rsid w:val="008175DA"/>
    <w:rsid w:val="00827616"/>
    <w:rsid w:val="00830801"/>
    <w:rsid w:val="00832162"/>
    <w:rsid w:val="008333E8"/>
    <w:rsid w:val="00833EC2"/>
    <w:rsid w:val="00835CFD"/>
    <w:rsid w:val="008401AA"/>
    <w:rsid w:val="00841AB0"/>
    <w:rsid w:val="0085425B"/>
    <w:rsid w:val="008554A2"/>
    <w:rsid w:val="00855BB3"/>
    <w:rsid w:val="00860ED5"/>
    <w:rsid w:val="00877375"/>
    <w:rsid w:val="00881113"/>
    <w:rsid w:val="00883334"/>
    <w:rsid w:val="00884E66"/>
    <w:rsid w:val="00897192"/>
    <w:rsid w:val="008A0B90"/>
    <w:rsid w:val="008A2FCE"/>
    <w:rsid w:val="008A5419"/>
    <w:rsid w:val="008B1DD5"/>
    <w:rsid w:val="008B7549"/>
    <w:rsid w:val="008C2712"/>
    <w:rsid w:val="008C28AB"/>
    <w:rsid w:val="008C4D44"/>
    <w:rsid w:val="008D1465"/>
    <w:rsid w:val="008D19F3"/>
    <w:rsid w:val="008E074D"/>
    <w:rsid w:val="008F4595"/>
    <w:rsid w:val="008F72D9"/>
    <w:rsid w:val="0090264B"/>
    <w:rsid w:val="0090447F"/>
    <w:rsid w:val="0091504E"/>
    <w:rsid w:val="00915C44"/>
    <w:rsid w:val="00924CFF"/>
    <w:rsid w:val="009265C7"/>
    <w:rsid w:val="00926FAC"/>
    <w:rsid w:val="00930F5D"/>
    <w:rsid w:val="00934B50"/>
    <w:rsid w:val="00937728"/>
    <w:rsid w:val="00941B43"/>
    <w:rsid w:val="00944B58"/>
    <w:rsid w:val="009515ED"/>
    <w:rsid w:val="00951FAB"/>
    <w:rsid w:val="00953D07"/>
    <w:rsid w:val="009543E2"/>
    <w:rsid w:val="00962BB6"/>
    <w:rsid w:val="00965ABE"/>
    <w:rsid w:val="00970B9A"/>
    <w:rsid w:val="009712E9"/>
    <w:rsid w:val="00977A82"/>
    <w:rsid w:val="009834B6"/>
    <w:rsid w:val="009852AF"/>
    <w:rsid w:val="00990066"/>
    <w:rsid w:val="00994112"/>
    <w:rsid w:val="00994AA1"/>
    <w:rsid w:val="00995FEC"/>
    <w:rsid w:val="009A005C"/>
    <w:rsid w:val="009A143D"/>
    <w:rsid w:val="009A20E7"/>
    <w:rsid w:val="009A7CD4"/>
    <w:rsid w:val="009B7837"/>
    <w:rsid w:val="009C4913"/>
    <w:rsid w:val="009C4B8E"/>
    <w:rsid w:val="009C6716"/>
    <w:rsid w:val="009D25F2"/>
    <w:rsid w:val="009D29B1"/>
    <w:rsid w:val="009D4431"/>
    <w:rsid w:val="009D4897"/>
    <w:rsid w:val="009D5AD6"/>
    <w:rsid w:val="009D6528"/>
    <w:rsid w:val="009E37CF"/>
    <w:rsid w:val="009F2CE0"/>
    <w:rsid w:val="009F3F9C"/>
    <w:rsid w:val="009F59EA"/>
    <w:rsid w:val="00A03381"/>
    <w:rsid w:val="00A05F5E"/>
    <w:rsid w:val="00A075AA"/>
    <w:rsid w:val="00A13AC1"/>
    <w:rsid w:val="00A21E1F"/>
    <w:rsid w:val="00A230C4"/>
    <w:rsid w:val="00A25EAA"/>
    <w:rsid w:val="00A27F0F"/>
    <w:rsid w:val="00A31A1C"/>
    <w:rsid w:val="00A3699F"/>
    <w:rsid w:val="00A46D45"/>
    <w:rsid w:val="00A510A0"/>
    <w:rsid w:val="00A51C62"/>
    <w:rsid w:val="00A52600"/>
    <w:rsid w:val="00A53D70"/>
    <w:rsid w:val="00A6397A"/>
    <w:rsid w:val="00A6534F"/>
    <w:rsid w:val="00A65B21"/>
    <w:rsid w:val="00A66BCB"/>
    <w:rsid w:val="00A73409"/>
    <w:rsid w:val="00A821CF"/>
    <w:rsid w:val="00A82D1A"/>
    <w:rsid w:val="00A84D95"/>
    <w:rsid w:val="00A90B64"/>
    <w:rsid w:val="00A92CEB"/>
    <w:rsid w:val="00AA0B99"/>
    <w:rsid w:val="00AA2BEF"/>
    <w:rsid w:val="00AA3B9E"/>
    <w:rsid w:val="00AA4B16"/>
    <w:rsid w:val="00AA5B93"/>
    <w:rsid w:val="00AB1161"/>
    <w:rsid w:val="00AC39DB"/>
    <w:rsid w:val="00AC3B3F"/>
    <w:rsid w:val="00AD33CE"/>
    <w:rsid w:val="00AD39EC"/>
    <w:rsid w:val="00AD4967"/>
    <w:rsid w:val="00AD5863"/>
    <w:rsid w:val="00B027C4"/>
    <w:rsid w:val="00B06191"/>
    <w:rsid w:val="00B105B6"/>
    <w:rsid w:val="00B11CF1"/>
    <w:rsid w:val="00B13294"/>
    <w:rsid w:val="00B13474"/>
    <w:rsid w:val="00B160F5"/>
    <w:rsid w:val="00B23BCC"/>
    <w:rsid w:val="00B279C1"/>
    <w:rsid w:val="00B3005B"/>
    <w:rsid w:val="00B31896"/>
    <w:rsid w:val="00B366D1"/>
    <w:rsid w:val="00B3736B"/>
    <w:rsid w:val="00B423CC"/>
    <w:rsid w:val="00B43782"/>
    <w:rsid w:val="00B44574"/>
    <w:rsid w:val="00B4634D"/>
    <w:rsid w:val="00B5072A"/>
    <w:rsid w:val="00B50B7D"/>
    <w:rsid w:val="00B52365"/>
    <w:rsid w:val="00B5564A"/>
    <w:rsid w:val="00B63A46"/>
    <w:rsid w:val="00B72FEF"/>
    <w:rsid w:val="00B75DFC"/>
    <w:rsid w:val="00B81247"/>
    <w:rsid w:val="00B92D91"/>
    <w:rsid w:val="00B9440F"/>
    <w:rsid w:val="00B94943"/>
    <w:rsid w:val="00B96228"/>
    <w:rsid w:val="00B9695E"/>
    <w:rsid w:val="00BA0092"/>
    <w:rsid w:val="00BA16AF"/>
    <w:rsid w:val="00BA75E6"/>
    <w:rsid w:val="00BB1AE9"/>
    <w:rsid w:val="00BB1E42"/>
    <w:rsid w:val="00BB4611"/>
    <w:rsid w:val="00BB5B3F"/>
    <w:rsid w:val="00BB6A69"/>
    <w:rsid w:val="00BB6F49"/>
    <w:rsid w:val="00BC27D3"/>
    <w:rsid w:val="00BC7B5F"/>
    <w:rsid w:val="00BD14EF"/>
    <w:rsid w:val="00BD23D2"/>
    <w:rsid w:val="00BD2458"/>
    <w:rsid w:val="00BD41A4"/>
    <w:rsid w:val="00BD4FDE"/>
    <w:rsid w:val="00BE5205"/>
    <w:rsid w:val="00BF3D47"/>
    <w:rsid w:val="00C01A26"/>
    <w:rsid w:val="00C02C52"/>
    <w:rsid w:val="00C05B45"/>
    <w:rsid w:val="00C11542"/>
    <w:rsid w:val="00C11948"/>
    <w:rsid w:val="00C11C8C"/>
    <w:rsid w:val="00C13A1A"/>
    <w:rsid w:val="00C1543B"/>
    <w:rsid w:val="00C20362"/>
    <w:rsid w:val="00C2146F"/>
    <w:rsid w:val="00C27ABE"/>
    <w:rsid w:val="00C343FA"/>
    <w:rsid w:val="00C3451C"/>
    <w:rsid w:val="00C378CD"/>
    <w:rsid w:val="00C37E04"/>
    <w:rsid w:val="00C42F93"/>
    <w:rsid w:val="00C44C6D"/>
    <w:rsid w:val="00C46F28"/>
    <w:rsid w:val="00C55038"/>
    <w:rsid w:val="00C55FB6"/>
    <w:rsid w:val="00C57FEF"/>
    <w:rsid w:val="00C60993"/>
    <w:rsid w:val="00C62A6D"/>
    <w:rsid w:val="00C62AD2"/>
    <w:rsid w:val="00C65222"/>
    <w:rsid w:val="00C66808"/>
    <w:rsid w:val="00C6757A"/>
    <w:rsid w:val="00C725A7"/>
    <w:rsid w:val="00C73813"/>
    <w:rsid w:val="00C73CDD"/>
    <w:rsid w:val="00C749B9"/>
    <w:rsid w:val="00C77DB7"/>
    <w:rsid w:val="00C84B7E"/>
    <w:rsid w:val="00C853C9"/>
    <w:rsid w:val="00C86B99"/>
    <w:rsid w:val="00C92D5E"/>
    <w:rsid w:val="00C97729"/>
    <w:rsid w:val="00CA0783"/>
    <w:rsid w:val="00CA380D"/>
    <w:rsid w:val="00CA3C31"/>
    <w:rsid w:val="00CA6D0A"/>
    <w:rsid w:val="00CB3681"/>
    <w:rsid w:val="00CC42FC"/>
    <w:rsid w:val="00CC7012"/>
    <w:rsid w:val="00CD23EA"/>
    <w:rsid w:val="00CD28AD"/>
    <w:rsid w:val="00CD2D61"/>
    <w:rsid w:val="00CD62E3"/>
    <w:rsid w:val="00CE17A8"/>
    <w:rsid w:val="00CE2571"/>
    <w:rsid w:val="00CE5313"/>
    <w:rsid w:val="00CE5811"/>
    <w:rsid w:val="00CF0F79"/>
    <w:rsid w:val="00CF4467"/>
    <w:rsid w:val="00CF6861"/>
    <w:rsid w:val="00D01F48"/>
    <w:rsid w:val="00D02E47"/>
    <w:rsid w:val="00D052AC"/>
    <w:rsid w:val="00D12BEA"/>
    <w:rsid w:val="00D13EC8"/>
    <w:rsid w:val="00D14E1E"/>
    <w:rsid w:val="00D22651"/>
    <w:rsid w:val="00D24F00"/>
    <w:rsid w:val="00D25F44"/>
    <w:rsid w:val="00D315C0"/>
    <w:rsid w:val="00D40061"/>
    <w:rsid w:val="00D47212"/>
    <w:rsid w:val="00D50B0E"/>
    <w:rsid w:val="00D50F20"/>
    <w:rsid w:val="00D5333B"/>
    <w:rsid w:val="00D56DB8"/>
    <w:rsid w:val="00D60547"/>
    <w:rsid w:val="00D611A5"/>
    <w:rsid w:val="00D66E68"/>
    <w:rsid w:val="00D74B90"/>
    <w:rsid w:val="00D756F2"/>
    <w:rsid w:val="00D75B04"/>
    <w:rsid w:val="00D77D5B"/>
    <w:rsid w:val="00D77DD7"/>
    <w:rsid w:val="00D95275"/>
    <w:rsid w:val="00D96342"/>
    <w:rsid w:val="00DA22E1"/>
    <w:rsid w:val="00DA4843"/>
    <w:rsid w:val="00DB0E72"/>
    <w:rsid w:val="00DB5B08"/>
    <w:rsid w:val="00DB6106"/>
    <w:rsid w:val="00DB6441"/>
    <w:rsid w:val="00DC5EC9"/>
    <w:rsid w:val="00DC7044"/>
    <w:rsid w:val="00DC711B"/>
    <w:rsid w:val="00DD1A20"/>
    <w:rsid w:val="00DD5CF6"/>
    <w:rsid w:val="00DD7EC9"/>
    <w:rsid w:val="00DE2C3D"/>
    <w:rsid w:val="00DF22D6"/>
    <w:rsid w:val="00DF2939"/>
    <w:rsid w:val="00E0076F"/>
    <w:rsid w:val="00E040C5"/>
    <w:rsid w:val="00E0554C"/>
    <w:rsid w:val="00E06F78"/>
    <w:rsid w:val="00E10D70"/>
    <w:rsid w:val="00E1151B"/>
    <w:rsid w:val="00E1341E"/>
    <w:rsid w:val="00E14DD4"/>
    <w:rsid w:val="00E15FCD"/>
    <w:rsid w:val="00E212C9"/>
    <w:rsid w:val="00E212FE"/>
    <w:rsid w:val="00E21A51"/>
    <w:rsid w:val="00E24404"/>
    <w:rsid w:val="00E25599"/>
    <w:rsid w:val="00E27373"/>
    <w:rsid w:val="00E31FFF"/>
    <w:rsid w:val="00E32D70"/>
    <w:rsid w:val="00E366A7"/>
    <w:rsid w:val="00E36EC1"/>
    <w:rsid w:val="00E4055A"/>
    <w:rsid w:val="00E41499"/>
    <w:rsid w:val="00E4513A"/>
    <w:rsid w:val="00E475D9"/>
    <w:rsid w:val="00E554D5"/>
    <w:rsid w:val="00E62726"/>
    <w:rsid w:val="00E627E5"/>
    <w:rsid w:val="00E63BCF"/>
    <w:rsid w:val="00E64595"/>
    <w:rsid w:val="00E82AD9"/>
    <w:rsid w:val="00E85067"/>
    <w:rsid w:val="00E86E4D"/>
    <w:rsid w:val="00E9743E"/>
    <w:rsid w:val="00EB0267"/>
    <w:rsid w:val="00EB0E3A"/>
    <w:rsid w:val="00EB1080"/>
    <w:rsid w:val="00EB27CC"/>
    <w:rsid w:val="00EB741E"/>
    <w:rsid w:val="00EC34ED"/>
    <w:rsid w:val="00EC5A9D"/>
    <w:rsid w:val="00ED2D30"/>
    <w:rsid w:val="00ED4465"/>
    <w:rsid w:val="00EE07EC"/>
    <w:rsid w:val="00EE462D"/>
    <w:rsid w:val="00EE4EF1"/>
    <w:rsid w:val="00EE73F0"/>
    <w:rsid w:val="00EF4DD6"/>
    <w:rsid w:val="00EF6F89"/>
    <w:rsid w:val="00F0075F"/>
    <w:rsid w:val="00F007D7"/>
    <w:rsid w:val="00F05EE8"/>
    <w:rsid w:val="00F12E81"/>
    <w:rsid w:val="00F15BE3"/>
    <w:rsid w:val="00F164F1"/>
    <w:rsid w:val="00F21B22"/>
    <w:rsid w:val="00F2269D"/>
    <w:rsid w:val="00F22CEC"/>
    <w:rsid w:val="00F37509"/>
    <w:rsid w:val="00F376EC"/>
    <w:rsid w:val="00F4571E"/>
    <w:rsid w:val="00F459F9"/>
    <w:rsid w:val="00F5289F"/>
    <w:rsid w:val="00F6038A"/>
    <w:rsid w:val="00F63227"/>
    <w:rsid w:val="00F65559"/>
    <w:rsid w:val="00F66A2E"/>
    <w:rsid w:val="00F67C45"/>
    <w:rsid w:val="00F74703"/>
    <w:rsid w:val="00F76A90"/>
    <w:rsid w:val="00F77EF2"/>
    <w:rsid w:val="00F83252"/>
    <w:rsid w:val="00F84EFB"/>
    <w:rsid w:val="00F855F8"/>
    <w:rsid w:val="00F94000"/>
    <w:rsid w:val="00FA268F"/>
    <w:rsid w:val="00FA5F9B"/>
    <w:rsid w:val="00FB2216"/>
    <w:rsid w:val="00FC55A5"/>
    <w:rsid w:val="00FD46B6"/>
    <w:rsid w:val="00FE6838"/>
    <w:rsid w:val="00FE6F05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E032A-920A-4E7C-A5F5-FCD80F7A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5B"/>
    <w:pPr>
      <w:spacing w:after="200" w:line="276" w:lineRule="auto"/>
    </w:pPr>
    <w:rPr>
      <w:rFonts w:eastAsia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5D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475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75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75D9"/>
    <w:rPr>
      <w:rFonts w:eastAsia="Times New Roman"/>
      <w:sz w:val="20"/>
      <w:szCs w:val="20"/>
      <w:lang w:eastAsia="es-ES"/>
    </w:rPr>
  </w:style>
  <w:style w:type="numbering" w:customStyle="1" w:styleId="Estilo1">
    <w:name w:val="Estilo1"/>
    <w:uiPriority w:val="99"/>
    <w:rsid w:val="00E475D9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5D9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032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325D"/>
    <w:rPr>
      <w:color w:val="800080"/>
      <w:u w:val="single"/>
    </w:rPr>
  </w:style>
  <w:style w:type="paragraph" w:customStyle="1" w:styleId="xl67">
    <w:name w:val="xl67"/>
    <w:basedOn w:val="Normal"/>
    <w:rsid w:val="0020325D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80"/>
      <w:sz w:val="24"/>
      <w:szCs w:val="24"/>
    </w:rPr>
  </w:style>
  <w:style w:type="paragraph" w:customStyle="1" w:styleId="xl68">
    <w:name w:val="xl68"/>
    <w:basedOn w:val="Normal"/>
    <w:rsid w:val="0020325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20325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70">
    <w:name w:val="xl70"/>
    <w:basedOn w:val="Normal"/>
    <w:rsid w:val="0020325D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xl71">
    <w:name w:val="xl71"/>
    <w:basedOn w:val="Normal"/>
    <w:rsid w:val="0020325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</w:rPr>
  </w:style>
  <w:style w:type="paragraph" w:customStyle="1" w:styleId="xl72">
    <w:name w:val="xl72"/>
    <w:basedOn w:val="Normal"/>
    <w:rsid w:val="0020325D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xl73">
    <w:name w:val="xl73"/>
    <w:basedOn w:val="Normal"/>
    <w:rsid w:val="0020325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xl74">
    <w:name w:val="xl74"/>
    <w:basedOn w:val="Normal"/>
    <w:rsid w:val="0020325D"/>
    <w:pPr>
      <w:pBdr>
        <w:bottom w:val="single" w:sz="8" w:space="0" w:color="auto"/>
      </w:pBdr>
      <w:shd w:val="clear" w:color="000000" w:fill="000099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14"/>
      <w:szCs w:val="14"/>
    </w:rPr>
  </w:style>
  <w:style w:type="paragraph" w:customStyle="1" w:styleId="xl75">
    <w:name w:val="xl75"/>
    <w:basedOn w:val="Normal"/>
    <w:rsid w:val="002032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76">
    <w:name w:val="xl76"/>
    <w:basedOn w:val="Normal"/>
    <w:rsid w:val="0020325D"/>
    <w:pPr>
      <w:shd w:val="clear" w:color="000000" w:fill="C2D69A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xl77">
    <w:name w:val="xl77"/>
    <w:basedOn w:val="Normal"/>
    <w:rsid w:val="0020325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</w:rPr>
  </w:style>
  <w:style w:type="paragraph" w:customStyle="1" w:styleId="xl78">
    <w:name w:val="xl78"/>
    <w:basedOn w:val="Normal"/>
    <w:rsid w:val="002032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xl79">
    <w:name w:val="xl79"/>
    <w:basedOn w:val="Normal"/>
    <w:rsid w:val="0020325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xl80">
    <w:name w:val="xl80"/>
    <w:basedOn w:val="Normal"/>
    <w:rsid w:val="0020325D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80"/>
      <w:sz w:val="14"/>
      <w:szCs w:val="14"/>
    </w:rPr>
  </w:style>
  <w:style w:type="paragraph" w:customStyle="1" w:styleId="xl81">
    <w:name w:val="xl81"/>
    <w:basedOn w:val="Normal"/>
    <w:rsid w:val="0020325D"/>
    <w:pPr>
      <w:pBdr>
        <w:top w:val="single" w:sz="4" w:space="0" w:color="auto"/>
        <w:bottom w:val="double" w:sz="6" w:space="0" w:color="auto"/>
      </w:pBdr>
      <w:shd w:val="clear" w:color="000000" w:fill="000099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xl82">
    <w:name w:val="xl82"/>
    <w:basedOn w:val="Normal"/>
    <w:rsid w:val="0020325D"/>
    <w:pPr>
      <w:pBdr>
        <w:top w:val="single" w:sz="4" w:space="0" w:color="auto"/>
        <w:bottom w:val="single" w:sz="4" w:space="0" w:color="auto"/>
      </w:pBdr>
      <w:shd w:val="clear" w:color="000000" w:fill="000099"/>
      <w:spacing w:before="100" w:beforeAutospacing="1" w:after="100" w:afterAutospacing="1" w:line="240" w:lineRule="auto"/>
    </w:pPr>
    <w:rPr>
      <w:rFonts w:ascii="Times New Roman" w:hAnsi="Times New Roman"/>
      <w:color w:val="FFFFFF"/>
      <w:sz w:val="14"/>
      <w:szCs w:val="14"/>
    </w:rPr>
  </w:style>
  <w:style w:type="paragraph" w:customStyle="1" w:styleId="xl83">
    <w:name w:val="xl83"/>
    <w:basedOn w:val="Normal"/>
    <w:rsid w:val="0020325D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xl66">
    <w:name w:val="xl66"/>
    <w:basedOn w:val="Normal"/>
    <w:rsid w:val="004A36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6AFAF-AE99-44DF-876D-52D518E7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1751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UNA1</dc:creator>
  <cp:lastModifiedBy>Vera Aguero Valverde</cp:lastModifiedBy>
  <cp:revision>6</cp:revision>
  <cp:lastPrinted>2018-10-12T21:25:00Z</cp:lastPrinted>
  <dcterms:created xsi:type="dcterms:W3CDTF">2019-04-22T15:28:00Z</dcterms:created>
  <dcterms:modified xsi:type="dcterms:W3CDTF">2019-04-22T17:38:00Z</dcterms:modified>
</cp:coreProperties>
</file>