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327" w:rsidRDefault="008C7327" w:rsidP="008C7327">
      <w:pPr>
        <w:rPr>
          <w:szCs w:val="20"/>
        </w:rPr>
      </w:pPr>
      <w:bookmarkStart w:id="0" w:name="_Toc205101577"/>
      <w:bookmarkStart w:id="1" w:name="_Toc205089173"/>
      <w:bookmarkStart w:id="2" w:name="_Toc205089008"/>
      <w:bookmarkStart w:id="3" w:name="_Toc205101714"/>
      <w:bookmarkEnd w:id="0"/>
      <w:bookmarkEnd w:id="1"/>
      <w:bookmarkEnd w:id="2"/>
      <w:bookmarkEnd w:id="3"/>
      <w:r w:rsidRPr="008C7327">
        <w:rPr>
          <w:szCs w:val="20"/>
        </w:rPr>
        <w:drawing>
          <wp:anchor distT="0" distB="0" distL="114300" distR="114300" simplePos="0" relativeHeight="251658240" behindDoc="1" locked="0" layoutInCell="1" allowOverlap="1">
            <wp:simplePos x="0" y="0"/>
            <wp:positionH relativeFrom="column">
              <wp:posOffset>-701040</wp:posOffset>
            </wp:positionH>
            <wp:positionV relativeFrom="paragraph">
              <wp:posOffset>-720090</wp:posOffset>
            </wp:positionV>
            <wp:extent cx="7734300" cy="9982200"/>
            <wp:effectExtent l="19050" t="0" r="0" b="0"/>
            <wp:wrapTight wrapText="bothSides">
              <wp:wrapPolygon edited="0">
                <wp:start x="-53" y="0"/>
                <wp:lineTo x="-53" y="21559"/>
                <wp:lineTo x="21600" y="21559"/>
                <wp:lineTo x="21600" y="0"/>
                <wp:lineTo x="-53" y="0"/>
              </wp:wrapPolygon>
            </wp:wrapTight>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34300" cy="9982200"/>
                    </a:xfrm>
                    <a:prstGeom prst="rect">
                      <a:avLst/>
                    </a:prstGeom>
                  </pic:spPr>
                </pic:pic>
              </a:graphicData>
            </a:graphic>
          </wp:anchor>
        </w:drawing>
      </w:r>
    </w:p>
    <w:p w:rsidR="008C7327" w:rsidRDefault="008C7327" w:rsidP="008C7327">
      <w:pPr>
        <w:rPr>
          <w:szCs w:val="20"/>
        </w:rPr>
      </w:pPr>
    </w:p>
    <w:p w:rsidR="008C7327" w:rsidRDefault="008C7327" w:rsidP="008C7327">
      <w:pPr>
        <w:rPr>
          <w:szCs w:val="20"/>
        </w:rPr>
      </w:pPr>
    </w:p>
    <w:p w:rsidR="008C7327" w:rsidRDefault="008C7327" w:rsidP="008C7327">
      <w:pPr>
        <w:rPr>
          <w:szCs w:val="20"/>
        </w:rPr>
      </w:pPr>
    </w:p>
    <w:p w:rsidR="008C7327" w:rsidRDefault="008C7327" w:rsidP="008C7327">
      <w:pPr>
        <w:rPr>
          <w:szCs w:val="20"/>
        </w:rPr>
      </w:pPr>
    </w:p>
    <w:p w:rsidR="008C7327" w:rsidRDefault="00A519F9" w:rsidP="008C7327">
      <w:pPr>
        <w:jc w:val="center"/>
        <w:rPr>
          <w:szCs w:val="20"/>
        </w:rPr>
      </w:pPr>
      <w:r>
        <w:rPr>
          <w:rFonts w:ascii="Californian FB" w:hAnsi="Californian FB"/>
          <w:b/>
          <w:sz w:val="40"/>
          <w:szCs w:val="40"/>
        </w:rPr>
        <w:t>Rectoría</w:t>
      </w:r>
    </w:p>
    <w:p w:rsidR="008C7327" w:rsidRDefault="00A519F9" w:rsidP="008C7327">
      <w:pPr>
        <w:jc w:val="center"/>
        <w:rPr>
          <w:szCs w:val="20"/>
        </w:rPr>
      </w:pPr>
      <w:r>
        <w:rPr>
          <w:rFonts w:ascii="Californian FB" w:hAnsi="Californian FB"/>
          <w:b/>
          <w:sz w:val="40"/>
          <w:szCs w:val="40"/>
        </w:rPr>
        <w:t>Área de Planificación</w:t>
      </w:r>
    </w:p>
    <w:p w:rsidR="008C7327" w:rsidRDefault="008C7327" w:rsidP="008C7327">
      <w:pPr>
        <w:rPr>
          <w:szCs w:val="20"/>
        </w:rPr>
      </w:pPr>
    </w:p>
    <w:p w:rsidR="00F87902" w:rsidRDefault="00F87902">
      <w:pPr>
        <w:jc w:val="cente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8C7327" w:rsidRDefault="008C7327">
      <w:pPr>
        <w:rPr>
          <w:szCs w:val="20"/>
        </w:rPr>
      </w:pPr>
    </w:p>
    <w:p w:rsidR="008C7327" w:rsidRDefault="008C7327">
      <w:pPr>
        <w:rPr>
          <w:szCs w:val="20"/>
        </w:rPr>
      </w:pPr>
    </w:p>
    <w:p w:rsidR="00F87902" w:rsidRDefault="00A519F9">
      <w:pPr>
        <w:jc w:val="center"/>
        <w:rPr>
          <w:rFonts w:ascii="Californian FB" w:hAnsi="Californian FB"/>
          <w:b/>
          <w:sz w:val="40"/>
          <w:szCs w:val="40"/>
        </w:rPr>
      </w:pPr>
      <w:r>
        <w:rPr>
          <w:rFonts w:ascii="Californian FB" w:hAnsi="Californian FB"/>
          <w:b/>
          <w:sz w:val="40"/>
          <w:szCs w:val="40"/>
        </w:rPr>
        <w:t>GRADO DE CUMPLIMIENTO DE LOS OBJETIVOS Y LAS METAS DEL PLAN OPERATIVO ANUAL INSTITUCIONAL 2015</w:t>
      </w:r>
    </w:p>
    <w:p w:rsidR="00F87902" w:rsidRDefault="00A519F9">
      <w:pPr>
        <w:jc w:val="center"/>
        <w:rPr>
          <w:b/>
          <w:sz w:val="40"/>
          <w:szCs w:val="40"/>
        </w:rPr>
      </w:pPr>
      <w:r>
        <w:rPr>
          <w:rFonts w:ascii="Californian FB" w:hAnsi="Californian FB"/>
          <w:b/>
          <w:sz w:val="40"/>
          <w:szCs w:val="40"/>
        </w:rPr>
        <w:t>(AL 31 DE DICIEMBRE)</w:t>
      </w: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szCs w:val="20"/>
        </w:rPr>
      </w:pPr>
    </w:p>
    <w:p w:rsidR="00F87902" w:rsidRDefault="00F87902">
      <w:pPr>
        <w:rPr>
          <w:rStyle w:val="Nmerodepgina"/>
        </w:rPr>
      </w:pPr>
    </w:p>
    <w:p w:rsidR="008C7327" w:rsidRDefault="00A519F9" w:rsidP="008C7327">
      <w:pPr>
        <w:jc w:val="center"/>
        <w:rPr>
          <w:szCs w:val="20"/>
        </w:rPr>
      </w:pPr>
      <w:r>
        <w:rPr>
          <w:rFonts w:ascii="Californian FB" w:hAnsi="Californian FB"/>
          <w:b/>
          <w:sz w:val="32"/>
          <w:szCs w:val="32"/>
        </w:rPr>
        <w:t>Campus Omar Dengo, febrero del 2016</w:t>
      </w:r>
    </w:p>
    <w:p w:rsidR="008C7327" w:rsidRDefault="008C7327" w:rsidP="008C7327">
      <w:pPr>
        <w:rPr>
          <w:szCs w:val="20"/>
        </w:rPr>
      </w:pPr>
    </w:p>
    <w:p w:rsidR="008C7327" w:rsidRDefault="008C7327">
      <w:pPr>
        <w:tabs>
          <w:tab w:val="left" w:pos="0"/>
          <w:tab w:val="center" w:pos="4252"/>
          <w:tab w:val="right" w:pos="8504"/>
        </w:tabs>
        <w:jc w:val="center"/>
        <w:rPr>
          <w:rFonts w:ascii="Californian FB" w:hAnsi="Californian FB"/>
          <w:b/>
          <w:sz w:val="32"/>
          <w:szCs w:val="32"/>
        </w:rPr>
        <w:sectPr w:rsidR="008C7327">
          <w:pgSz w:w="12240" w:h="15840"/>
          <w:pgMar w:top="1134" w:right="1134" w:bottom="1134" w:left="1134" w:header="0" w:footer="0" w:gutter="0"/>
          <w:cols w:space="720"/>
          <w:formProt w:val="0"/>
          <w:docGrid w:linePitch="360" w:charSpace="-6145"/>
        </w:sectPr>
      </w:pPr>
    </w:p>
    <w:p w:rsidR="008C7327" w:rsidRDefault="008C7327">
      <w:pPr>
        <w:jc w:val="center"/>
        <w:rPr>
          <w:rFonts w:ascii="Arial" w:hAnsi="Arial" w:cs="Arial"/>
          <w:b/>
          <w:sz w:val="28"/>
          <w:szCs w:val="28"/>
        </w:rPr>
      </w:pPr>
    </w:p>
    <w:p w:rsidR="008C7327" w:rsidRDefault="008C7327">
      <w:pPr>
        <w:jc w:val="center"/>
        <w:rPr>
          <w:rFonts w:ascii="Arial" w:hAnsi="Arial" w:cs="Arial"/>
          <w:b/>
          <w:sz w:val="28"/>
          <w:szCs w:val="28"/>
        </w:rPr>
      </w:pPr>
    </w:p>
    <w:p w:rsidR="00F87902" w:rsidRDefault="00A519F9">
      <w:pPr>
        <w:jc w:val="center"/>
      </w:pPr>
      <w:r>
        <w:rPr>
          <w:rFonts w:ascii="Arial" w:hAnsi="Arial" w:cs="Arial"/>
          <w:b/>
          <w:sz w:val="28"/>
          <w:szCs w:val="28"/>
        </w:rPr>
        <w:t xml:space="preserve">TABLA DE CONTENIDO </w:t>
      </w:r>
    </w:p>
    <w:p w:rsidR="00F87902" w:rsidRDefault="00F87902">
      <w:pPr>
        <w:jc w:val="center"/>
        <w:rPr>
          <w:rFonts w:ascii="Arial" w:hAnsi="Arial" w:cs="Arial"/>
          <w:b/>
          <w:sz w:val="28"/>
          <w:szCs w:val="28"/>
        </w:rPr>
      </w:pPr>
    </w:p>
    <w:p w:rsidR="008C7327" w:rsidRDefault="008C7327">
      <w:pPr>
        <w:jc w:val="center"/>
        <w:rPr>
          <w:rFonts w:ascii="Arial" w:hAnsi="Arial" w:cs="Arial"/>
          <w:b/>
          <w:sz w:val="28"/>
          <w:szCs w:val="28"/>
        </w:rPr>
      </w:pPr>
    </w:p>
    <w:p w:rsidR="00F87902" w:rsidRDefault="00A519F9">
      <w:pPr>
        <w:jc w:val="both"/>
      </w:pPr>
      <w:r>
        <w:rPr>
          <w:rFonts w:ascii="Arial" w:hAnsi="Arial" w:cs="Arial"/>
          <w:b/>
          <w:sz w:val="28"/>
          <w:szCs w:val="28"/>
        </w:rPr>
        <w:t>Introducción…………………………………………………………</w:t>
      </w:r>
      <w:r w:rsidR="00C575C9">
        <w:rPr>
          <w:rFonts w:ascii="Arial" w:hAnsi="Arial" w:cs="Arial"/>
          <w:b/>
          <w:sz w:val="28"/>
          <w:szCs w:val="28"/>
        </w:rPr>
        <w:t>......</w:t>
      </w:r>
      <w:r>
        <w:rPr>
          <w:rFonts w:ascii="Arial" w:hAnsi="Arial" w:cs="Arial"/>
          <w:b/>
          <w:sz w:val="28"/>
          <w:szCs w:val="28"/>
        </w:rPr>
        <w:t>…………. 1</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Resumen ejecutivo……………………………………………………</w:t>
      </w:r>
      <w:r w:rsidR="00C575C9">
        <w:rPr>
          <w:rFonts w:ascii="Arial" w:hAnsi="Arial" w:cs="Arial"/>
          <w:b/>
          <w:sz w:val="28"/>
          <w:szCs w:val="28"/>
        </w:rPr>
        <w:t>.....</w:t>
      </w:r>
      <w:r>
        <w:rPr>
          <w:rFonts w:ascii="Arial" w:hAnsi="Arial" w:cs="Arial"/>
          <w:b/>
          <w:sz w:val="28"/>
          <w:szCs w:val="28"/>
        </w:rPr>
        <w:t>….. ….. 2</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Metodología………………………………………………………….……</w:t>
      </w:r>
      <w:r w:rsidR="00C575C9">
        <w:rPr>
          <w:rFonts w:ascii="Arial" w:hAnsi="Arial" w:cs="Arial"/>
          <w:b/>
          <w:sz w:val="28"/>
          <w:szCs w:val="28"/>
        </w:rPr>
        <w:t>.....</w:t>
      </w:r>
      <w:r>
        <w:rPr>
          <w:rFonts w:ascii="Arial" w:hAnsi="Arial" w:cs="Arial"/>
          <w:b/>
          <w:sz w:val="28"/>
          <w:szCs w:val="28"/>
        </w:rPr>
        <w:t>…... 20</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Resultados de gestión…………………………………………….………</w:t>
      </w:r>
      <w:r w:rsidR="00C575C9">
        <w:rPr>
          <w:rFonts w:ascii="Arial" w:hAnsi="Arial" w:cs="Arial"/>
          <w:b/>
          <w:sz w:val="28"/>
          <w:szCs w:val="28"/>
        </w:rPr>
        <w:t>.....</w:t>
      </w:r>
      <w:r>
        <w:rPr>
          <w:rFonts w:ascii="Arial" w:hAnsi="Arial" w:cs="Arial"/>
          <w:b/>
          <w:sz w:val="28"/>
          <w:szCs w:val="28"/>
        </w:rPr>
        <w:t>… 23</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Ejecución presupuestaria……………………………………………</w:t>
      </w:r>
      <w:r w:rsidR="00C575C9">
        <w:rPr>
          <w:rFonts w:ascii="Arial" w:hAnsi="Arial" w:cs="Arial"/>
          <w:b/>
          <w:sz w:val="28"/>
          <w:szCs w:val="28"/>
        </w:rPr>
        <w:t>......</w:t>
      </w:r>
      <w:r>
        <w:rPr>
          <w:rFonts w:ascii="Arial" w:hAnsi="Arial" w:cs="Arial"/>
          <w:b/>
          <w:sz w:val="28"/>
          <w:szCs w:val="28"/>
        </w:rPr>
        <w:t>......... 25</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Grado de cumplimiento de objetivos y metas por</w:t>
      </w:r>
    </w:p>
    <w:p w:rsidR="00F87902" w:rsidRDefault="00A519F9">
      <w:pPr>
        <w:jc w:val="both"/>
      </w:pPr>
      <w:r>
        <w:rPr>
          <w:rFonts w:ascii="Arial" w:hAnsi="Arial" w:cs="Arial"/>
          <w:b/>
          <w:sz w:val="28"/>
          <w:szCs w:val="28"/>
        </w:rPr>
        <w:t>programa presupuestario</w:t>
      </w:r>
    </w:p>
    <w:p w:rsidR="00F87902" w:rsidRDefault="00F87902">
      <w:pPr>
        <w:jc w:val="both"/>
        <w:rPr>
          <w:rFonts w:ascii="Arial" w:hAnsi="Arial" w:cs="Arial"/>
          <w:b/>
          <w:sz w:val="28"/>
          <w:szCs w:val="28"/>
        </w:rPr>
      </w:pPr>
    </w:p>
    <w:p w:rsidR="00F87902" w:rsidRDefault="00A519F9">
      <w:pPr>
        <w:spacing w:line="360" w:lineRule="auto"/>
        <w:ind w:left="708"/>
        <w:jc w:val="both"/>
      </w:pPr>
      <w:r>
        <w:rPr>
          <w:rFonts w:ascii="Arial" w:hAnsi="Arial" w:cs="Arial"/>
          <w:b/>
          <w:sz w:val="28"/>
          <w:szCs w:val="28"/>
        </w:rPr>
        <w:t>Programa Académico……………………………………………</w:t>
      </w:r>
      <w:r w:rsidR="00C575C9">
        <w:rPr>
          <w:rFonts w:ascii="Arial" w:hAnsi="Arial" w:cs="Arial"/>
          <w:b/>
          <w:sz w:val="28"/>
          <w:szCs w:val="28"/>
        </w:rPr>
        <w:t>.</w:t>
      </w:r>
      <w:r>
        <w:rPr>
          <w:rFonts w:ascii="Arial" w:hAnsi="Arial" w:cs="Arial"/>
          <w:b/>
          <w:sz w:val="28"/>
          <w:szCs w:val="28"/>
        </w:rPr>
        <w:t>…</w:t>
      </w:r>
      <w:r w:rsidR="00C575C9">
        <w:rPr>
          <w:rFonts w:ascii="Arial" w:hAnsi="Arial" w:cs="Arial"/>
          <w:b/>
          <w:sz w:val="28"/>
          <w:szCs w:val="28"/>
        </w:rPr>
        <w:t>...</w:t>
      </w:r>
      <w:r>
        <w:rPr>
          <w:rFonts w:ascii="Arial" w:hAnsi="Arial" w:cs="Arial"/>
          <w:b/>
          <w:sz w:val="28"/>
          <w:szCs w:val="28"/>
        </w:rPr>
        <w:t>… 28</w:t>
      </w:r>
    </w:p>
    <w:p w:rsidR="00F87902" w:rsidRDefault="00A519F9">
      <w:pPr>
        <w:spacing w:line="360" w:lineRule="auto"/>
        <w:ind w:left="708"/>
        <w:jc w:val="both"/>
      </w:pPr>
      <w:r>
        <w:rPr>
          <w:rFonts w:ascii="Arial" w:hAnsi="Arial" w:cs="Arial"/>
          <w:b/>
          <w:sz w:val="28"/>
          <w:szCs w:val="28"/>
        </w:rPr>
        <w:t>Programa Vida Universitaria……………………………………</w:t>
      </w:r>
      <w:r w:rsidR="00C575C9">
        <w:rPr>
          <w:rFonts w:ascii="Arial" w:hAnsi="Arial" w:cs="Arial"/>
          <w:b/>
          <w:sz w:val="28"/>
          <w:szCs w:val="28"/>
        </w:rPr>
        <w:t>.</w:t>
      </w:r>
      <w:r>
        <w:rPr>
          <w:rFonts w:ascii="Arial" w:hAnsi="Arial" w:cs="Arial"/>
          <w:b/>
          <w:sz w:val="28"/>
          <w:szCs w:val="28"/>
        </w:rPr>
        <w:t>...</w:t>
      </w:r>
      <w:r w:rsidR="00C575C9">
        <w:rPr>
          <w:rFonts w:ascii="Arial" w:hAnsi="Arial" w:cs="Arial"/>
          <w:b/>
          <w:sz w:val="28"/>
          <w:szCs w:val="28"/>
        </w:rPr>
        <w:t>..</w:t>
      </w:r>
      <w:r>
        <w:rPr>
          <w:rFonts w:ascii="Arial" w:hAnsi="Arial" w:cs="Arial"/>
          <w:b/>
          <w:sz w:val="28"/>
          <w:szCs w:val="28"/>
        </w:rPr>
        <w:t>…. 55</w:t>
      </w:r>
    </w:p>
    <w:p w:rsidR="00F87902" w:rsidRDefault="00A519F9">
      <w:pPr>
        <w:spacing w:line="360" w:lineRule="auto"/>
        <w:ind w:left="708"/>
        <w:jc w:val="both"/>
      </w:pPr>
      <w:r>
        <w:rPr>
          <w:rFonts w:ascii="Arial" w:hAnsi="Arial" w:cs="Arial"/>
          <w:b/>
          <w:sz w:val="28"/>
          <w:szCs w:val="28"/>
        </w:rPr>
        <w:t>Programa Administrativo…………………………………..…</w:t>
      </w:r>
      <w:r w:rsidR="00C575C9">
        <w:rPr>
          <w:rFonts w:ascii="Arial" w:hAnsi="Arial" w:cs="Arial"/>
          <w:b/>
          <w:sz w:val="28"/>
          <w:szCs w:val="28"/>
        </w:rPr>
        <w:t>..</w:t>
      </w:r>
      <w:r>
        <w:rPr>
          <w:rFonts w:ascii="Arial" w:hAnsi="Arial" w:cs="Arial"/>
          <w:b/>
          <w:sz w:val="28"/>
          <w:szCs w:val="28"/>
        </w:rPr>
        <w:t>…….</w:t>
      </w:r>
      <w:r w:rsidR="00C575C9">
        <w:rPr>
          <w:rFonts w:ascii="Arial" w:hAnsi="Arial" w:cs="Arial"/>
          <w:b/>
          <w:sz w:val="28"/>
          <w:szCs w:val="28"/>
        </w:rPr>
        <w:t>..</w:t>
      </w:r>
      <w:r>
        <w:rPr>
          <w:rFonts w:ascii="Arial" w:hAnsi="Arial" w:cs="Arial"/>
          <w:b/>
          <w:sz w:val="28"/>
          <w:szCs w:val="28"/>
        </w:rPr>
        <w:t>.. 74</w:t>
      </w:r>
    </w:p>
    <w:p w:rsidR="00F87902" w:rsidRDefault="00F87902">
      <w:pPr>
        <w:ind w:left="708"/>
        <w:jc w:val="both"/>
        <w:rPr>
          <w:rFonts w:ascii="Arial" w:hAnsi="Arial" w:cs="Arial"/>
          <w:b/>
          <w:sz w:val="28"/>
          <w:szCs w:val="28"/>
        </w:rPr>
      </w:pPr>
    </w:p>
    <w:p w:rsidR="00F87902" w:rsidRDefault="00A519F9">
      <w:pPr>
        <w:jc w:val="both"/>
      </w:pPr>
      <w:r>
        <w:rPr>
          <w:rFonts w:ascii="Arial" w:hAnsi="Arial" w:cs="Arial"/>
          <w:b/>
          <w:sz w:val="28"/>
          <w:szCs w:val="28"/>
        </w:rPr>
        <w:t>Anexo 1…………………………………………………………………..</w:t>
      </w:r>
      <w:r w:rsidR="00C575C9">
        <w:rPr>
          <w:rFonts w:ascii="Arial" w:hAnsi="Arial" w:cs="Arial"/>
          <w:b/>
          <w:sz w:val="28"/>
          <w:szCs w:val="28"/>
        </w:rPr>
        <w:t>......</w:t>
      </w:r>
      <w:r>
        <w:rPr>
          <w:rFonts w:ascii="Arial" w:hAnsi="Arial" w:cs="Arial"/>
          <w:b/>
          <w:sz w:val="28"/>
          <w:szCs w:val="28"/>
        </w:rPr>
        <w:t>..…. 104</w:t>
      </w:r>
    </w:p>
    <w:p w:rsidR="00F87902" w:rsidRDefault="00F87902">
      <w:pPr>
        <w:jc w:val="both"/>
        <w:rPr>
          <w:rFonts w:ascii="Arial" w:hAnsi="Arial" w:cs="Arial"/>
          <w:b/>
          <w:sz w:val="28"/>
          <w:szCs w:val="28"/>
        </w:rPr>
      </w:pPr>
    </w:p>
    <w:p w:rsidR="00F87902" w:rsidRDefault="00A519F9">
      <w:pPr>
        <w:jc w:val="both"/>
      </w:pPr>
      <w:r>
        <w:rPr>
          <w:rFonts w:ascii="Arial" w:hAnsi="Arial" w:cs="Arial"/>
          <w:b/>
          <w:sz w:val="28"/>
          <w:szCs w:val="28"/>
        </w:rPr>
        <w:t>Anexo 2………………………………………………………………</w:t>
      </w:r>
      <w:r w:rsidR="00C575C9">
        <w:rPr>
          <w:rFonts w:ascii="Arial" w:hAnsi="Arial" w:cs="Arial"/>
          <w:b/>
          <w:sz w:val="28"/>
          <w:szCs w:val="28"/>
        </w:rPr>
        <w:t>.....</w:t>
      </w:r>
      <w:r>
        <w:rPr>
          <w:rFonts w:ascii="Arial" w:hAnsi="Arial" w:cs="Arial"/>
          <w:b/>
          <w:sz w:val="28"/>
          <w:szCs w:val="28"/>
        </w:rPr>
        <w:t>…….…. 106</w:t>
      </w:r>
    </w:p>
    <w:p w:rsidR="00F87902" w:rsidRDefault="00F87902">
      <w:pPr>
        <w:jc w:val="both"/>
        <w:rPr>
          <w:rFonts w:ascii="Arial" w:hAnsi="Arial" w:cs="Arial"/>
          <w:b/>
          <w:sz w:val="28"/>
          <w:szCs w:val="28"/>
        </w:rPr>
        <w:sectPr w:rsidR="00F87902">
          <w:footerReference w:type="default" r:id="rId9"/>
          <w:pgSz w:w="12240" w:h="15840"/>
          <w:pgMar w:top="1412" w:right="1009" w:bottom="1412" w:left="1440" w:header="0" w:footer="720" w:gutter="0"/>
          <w:pgNumType w:start="1"/>
          <w:cols w:space="720"/>
          <w:formProt w:val="0"/>
          <w:docGrid w:linePitch="326" w:charSpace="-6145"/>
        </w:sectPr>
      </w:pPr>
      <w:bookmarkStart w:id="4" w:name="_Toc2050890081"/>
      <w:bookmarkStart w:id="5" w:name="_Toc2050891731"/>
      <w:bookmarkStart w:id="6" w:name="_Toc2051015771"/>
      <w:bookmarkStart w:id="7" w:name="_Toc2051017141"/>
      <w:bookmarkEnd w:id="4"/>
      <w:bookmarkEnd w:id="5"/>
      <w:bookmarkEnd w:id="6"/>
      <w:bookmarkEnd w:id="7"/>
    </w:p>
    <w:p w:rsidR="00F87902" w:rsidRDefault="00A519F9">
      <w:pPr>
        <w:pStyle w:val="Encabezado1"/>
        <w:spacing w:line="360" w:lineRule="auto"/>
        <w:rPr>
          <w:rFonts w:ascii="Arial" w:hAnsi="Arial" w:cs="Arial"/>
        </w:rPr>
      </w:pPr>
      <w:bookmarkStart w:id="8" w:name="_Toc205107158"/>
      <w:bookmarkStart w:id="9" w:name="_Toc205107629"/>
      <w:bookmarkStart w:id="10" w:name="_Toc111025990"/>
      <w:bookmarkStart w:id="11" w:name="_Toc205107264"/>
      <w:bookmarkStart w:id="12" w:name="_Toc96318971"/>
      <w:bookmarkStart w:id="13" w:name="_Toc205101578"/>
      <w:bookmarkStart w:id="14" w:name="_Toc205101715"/>
      <w:bookmarkStart w:id="15" w:name="_Toc205106819"/>
      <w:bookmarkStart w:id="16" w:name="_Toc205107610"/>
      <w:bookmarkStart w:id="17" w:name="_Toc237747458"/>
      <w:bookmarkStart w:id="18" w:name="_Toc348683616"/>
      <w:bookmarkStart w:id="19" w:name="_Toc96313353"/>
      <w:bookmarkStart w:id="20" w:name="_Toc205089009"/>
      <w:bookmarkStart w:id="21" w:name="_Toc205089174"/>
      <w:bookmarkStart w:id="22" w:name="_Toc205107673"/>
      <w:bookmarkStart w:id="23" w:name="_Toc9631763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ascii="Arial" w:hAnsi="Arial" w:cs="Arial"/>
        </w:rPr>
        <w:lastRenderedPageBreak/>
        <w:t>INTRODUCCIÓN</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El presente informe corresponde al período comprendido entre los meses de enero y diciembre del 2015.</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La Universidad Nacional cuenta con una estructura programática de su Plan operativo anual institucional conformada por tres programas, divididos a su vez en subprogramas.</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 xml:space="preserve">En cada uno de estos programas se definieron objetivos y metas institucionales, con sus respectivas acciones y cronograma de ejecución, así como los montos presupuestarios asociados a cada una de las metas propuestas.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El método utilizado para la evaluación implicó contrastar las actividades programadas con las ejecutadas durante el año 2015, así como comparar los recursos presupuestados cuando se aprobó el plan (25 de setiembre del 2014), las modificaciones presupuestarias realizadas y los recursos ejecutados al 31 de diciembre del 2015.</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En este informe, como criterio para considerar insatisfactorio el grado de cumplimiento de una meta se establece un porcentaje inferior al 80%, en cuyo caso se realiza un análisis sobre las razones que lo explican, se valoran las oportunidades de visualizar posibles opciones para evitar escenarios de subejecución similares en el siguiente periodo, así como el grado de afectación en el objetivo estratégico vinculado.</w:t>
      </w:r>
    </w:p>
    <w:p w:rsidR="00F87902" w:rsidRDefault="00F87902">
      <w:pPr>
        <w:spacing w:line="360" w:lineRule="auto"/>
        <w:jc w:val="both"/>
        <w:rPr>
          <w:rFonts w:ascii="Arial" w:hAnsi="Arial" w:cs="Arial"/>
          <w:sz w:val="4"/>
        </w:rPr>
      </w:pPr>
    </w:p>
    <w:p w:rsidR="00F87902" w:rsidRDefault="00F87902">
      <w:pPr>
        <w:jc w:val="center"/>
        <w:rPr>
          <w:b/>
          <w:sz w:val="30"/>
          <w:szCs w:val="30"/>
        </w:rPr>
      </w:pPr>
    </w:p>
    <w:p w:rsidR="009A6DCD" w:rsidRDefault="009A6DCD">
      <w:pPr>
        <w:rPr>
          <w:b/>
          <w:sz w:val="30"/>
          <w:szCs w:val="30"/>
        </w:rPr>
      </w:pPr>
      <w:r>
        <w:rPr>
          <w:b/>
          <w:sz w:val="30"/>
          <w:szCs w:val="30"/>
        </w:rPr>
        <w:br w:type="page"/>
      </w:r>
    </w:p>
    <w:p w:rsidR="00F87902" w:rsidRDefault="00A519F9">
      <w:pPr>
        <w:jc w:val="center"/>
        <w:rPr>
          <w:b/>
          <w:sz w:val="28"/>
        </w:rPr>
      </w:pPr>
      <w:r>
        <w:rPr>
          <w:b/>
          <w:sz w:val="30"/>
          <w:szCs w:val="30"/>
        </w:rPr>
        <w:lastRenderedPageBreak/>
        <w:t xml:space="preserve">INFORME GRADO DE CUMPLIMIENTO DE OBJETIVOS Y METAS DEL POAI-2015 </w:t>
      </w:r>
      <w:r>
        <w:rPr>
          <w:b/>
          <w:sz w:val="28"/>
        </w:rPr>
        <w:t>(al 31 de diciembre)</w:t>
      </w:r>
    </w:p>
    <w:p w:rsidR="00F87902" w:rsidRDefault="00A519F9">
      <w:pPr>
        <w:pStyle w:val="Encabezado1"/>
        <w:spacing w:line="360" w:lineRule="auto"/>
        <w:rPr>
          <w:rFonts w:ascii="Arial" w:hAnsi="Arial" w:cs="Arial"/>
        </w:rPr>
      </w:pPr>
      <w:bookmarkStart w:id="24" w:name="_Toc348683617"/>
      <w:bookmarkEnd w:id="24"/>
      <w:r>
        <w:rPr>
          <w:rFonts w:ascii="Arial" w:hAnsi="Arial" w:cs="Arial"/>
        </w:rPr>
        <w:t>RESUMEN EJECUTIVO</w:t>
      </w:r>
    </w:p>
    <w:p w:rsidR="00F87902" w:rsidRDefault="00F87902">
      <w:pPr>
        <w:jc w:val="both"/>
        <w:rPr>
          <w:b/>
          <w:sz w:val="28"/>
          <w:szCs w:val="28"/>
        </w:rPr>
      </w:pPr>
    </w:p>
    <w:p w:rsidR="00F87902" w:rsidRDefault="00A519F9">
      <w:pPr>
        <w:jc w:val="both"/>
        <w:rPr>
          <w:b/>
          <w:sz w:val="28"/>
          <w:szCs w:val="28"/>
        </w:rPr>
      </w:pPr>
      <w:r>
        <w:rPr>
          <w:b/>
          <w:sz w:val="28"/>
          <w:szCs w:val="28"/>
        </w:rPr>
        <w:t>PROGRAMA ACADÉMICO.</w:t>
      </w:r>
    </w:p>
    <w:p w:rsidR="00F87902" w:rsidRDefault="00F87902">
      <w:pPr>
        <w:jc w:val="both"/>
        <w:rPr>
          <w:b/>
          <w:sz w:val="28"/>
          <w:szCs w:val="28"/>
        </w:rPr>
      </w:pPr>
    </w:p>
    <w:p w:rsidR="00F87902" w:rsidRDefault="00A519F9">
      <w:pPr>
        <w:jc w:val="both"/>
        <w:rPr>
          <w:b/>
          <w:sz w:val="28"/>
          <w:u w:val="single"/>
        </w:rPr>
      </w:pPr>
      <w:r>
        <w:rPr>
          <w:b/>
          <w:sz w:val="28"/>
          <w:u w:val="single"/>
        </w:rPr>
        <w:t xml:space="preserve">Objetivo 1. </w:t>
      </w:r>
    </w:p>
    <w:p w:rsidR="00F87902" w:rsidRDefault="00A519F9">
      <w:pPr>
        <w:jc w:val="both"/>
        <w:rPr>
          <w:rFonts w:ascii="Arial" w:hAnsi="Arial" w:cs="Arial"/>
        </w:rPr>
      </w:pPr>
      <w:r>
        <w:rPr>
          <w:rFonts w:ascii="Arial" w:hAnsi="Arial" w:cs="Arial"/>
        </w:rPr>
        <w:t>Ofrecer planes de estudio en concordancia con los ejes transversales y el modelo pedagógico institucional, orientados a la atracción y la permanencia estudiantil.</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1.1. </w:t>
      </w:r>
    </w:p>
    <w:p w:rsidR="00F87902" w:rsidRDefault="00A519F9">
      <w:pPr>
        <w:ind w:left="720"/>
        <w:jc w:val="both"/>
        <w:rPr>
          <w:rFonts w:ascii="Arial" w:hAnsi="Arial" w:cs="Arial"/>
        </w:rPr>
      </w:pPr>
      <w:r>
        <w:rPr>
          <w:rFonts w:ascii="Arial" w:hAnsi="Arial" w:cs="Arial"/>
        </w:rPr>
        <w:t xml:space="preserve">Matricular </w:t>
      </w:r>
      <w:r>
        <w:rPr>
          <w:rFonts w:ascii="Arial" w:hAnsi="Arial" w:cs="Arial"/>
          <w:b/>
        </w:rPr>
        <w:t>15.791</w:t>
      </w:r>
      <w:r>
        <w:rPr>
          <w:rFonts w:ascii="Arial" w:hAnsi="Arial" w:cs="Arial"/>
        </w:rPr>
        <w:t xml:space="preserve"> estudiantes en la sede Central.</w:t>
      </w:r>
    </w:p>
    <w:p w:rsidR="00F87902" w:rsidRDefault="00F87902">
      <w:pPr>
        <w:pStyle w:val="Prrafodelista"/>
        <w:ind w:left="1080"/>
        <w:rPr>
          <w:b/>
          <w:sz w:val="28"/>
          <w:u w:val="single"/>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matricularon </w:t>
      </w:r>
      <w:r>
        <w:rPr>
          <w:rFonts w:ascii="Arial" w:hAnsi="Arial" w:cs="Arial"/>
          <w:b/>
        </w:rPr>
        <w:t xml:space="preserve">15.220 </w:t>
      </w:r>
      <w:r>
        <w:rPr>
          <w:rFonts w:ascii="Arial" w:hAnsi="Arial" w:cs="Arial"/>
        </w:rPr>
        <w:t>estudiantes –incluye UCR: Limón– (</w:t>
      </w:r>
      <w:r>
        <w:rPr>
          <w:rFonts w:ascii="Arial" w:hAnsi="Arial" w:cs="Arial"/>
          <w:b/>
        </w:rPr>
        <w:t>96</w:t>
      </w:r>
      <w:r>
        <w:rPr>
          <w:rFonts w:ascii="Arial" w:hAnsi="Arial" w:cs="Arial"/>
        </w:rPr>
        <w:t xml:space="preserve">% de cumplimiento). </w:t>
      </w:r>
    </w:p>
    <w:p w:rsidR="00F87902" w:rsidRDefault="00F87902">
      <w:pPr>
        <w:ind w:left="720"/>
        <w:jc w:val="both"/>
        <w:rPr>
          <w:rFonts w:ascii="Arial" w:hAnsi="Arial" w:cs="Arial"/>
        </w:rPr>
      </w:pPr>
    </w:p>
    <w:p w:rsidR="00F87902" w:rsidRDefault="00A519F9">
      <w:pPr>
        <w:ind w:left="708"/>
        <w:jc w:val="both"/>
        <w:rPr>
          <w:sz w:val="28"/>
          <w:szCs w:val="28"/>
        </w:rPr>
      </w:pPr>
      <w:r>
        <w:rPr>
          <w:b/>
          <w:sz w:val="28"/>
          <w:u w:val="single"/>
        </w:rPr>
        <w:t xml:space="preserve">Ejecución presupuestaria. </w:t>
      </w:r>
      <w:r>
        <w:rPr>
          <w:b/>
          <w:i/>
          <w:sz w:val="28"/>
          <w:szCs w:val="28"/>
        </w:rPr>
        <w:t>92,4 %</w:t>
      </w:r>
    </w:p>
    <w:p w:rsidR="00F87902" w:rsidRDefault="00F87902">
      <w:pPr>
        <w:jc w:val="both"/>
        <w:rPr>
          <w:rFonts w:ascii="Arial" w:hAnsi="Arial" w:cs="Arial"/>
          <w:b/>
          <w:bCs/>
          <w:lang w:val="es-CR" w:eastAsia="es-CR"/>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1.2.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19</w:t>
      </w:r>
      <w:r>
        <w:rPr>
          <w:rFonts w:ascii="Arial" w:hAnsi="Arial" w:cs="Arial"/>
        </w:rPr>
        <w:t xml:space="preserve"> programas, proyectos y actividades (PPAA) que apoyen la innovación y la diversificación universitarias.</w:t>
      </w:r>
    </w:p>
    <w:p w:rsidR="00F87902" w:rsidRDefault="00F87902">
      <w:pPr>
        <w:ind w:left="720"/>
        <w:jc w:val="both"/>
        <w:rPr>
          <w:b/>
          <w:sz w:val="28"/>
          <w:u w:val="single"/>
        </w:rPr>
      </w:pPr>
    </w:p>
    <w:p w:rsidR="00F87902" w:rsidRDefault="00A519F9">
      <w:pPr>
        <w:ind w:left="720"/>
        <w:jc w:val="both"/>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ejecutaron </w:t>
      </w:r>
      <w:r>
        <w:rPr>
          <w:rFonts w:ascii="Arial" w:hAnsi="Arial" w:cs="Arial"/>
          <w:b/>
        </w:rPr>
        <w:t xml:space="preserve">36 programas, proyectos y actividades </w:t>
      </w:r>
      <w:r>
        <w:rPr>
          <w:rFonts w:ascii="Arial" w:hAnsi="Arial" w:cs="Arial"/>
        </w:rPr>
        <w:t>de apoyo a la innovación y la diversificación, número muy superior al formulado (</w:t>
      </w:r>
      <w:r>
        <w:rPr>
          <w:rFonts w:ascii="Arial" w:hAnsi="Arial" w:cs="Arial"/>
          <w:b/>
        </w:rPr>
        <w:t xml:space="preserve">100% </w:t>
      </w:r>
      <w:r>
        <w:rPr>
          <w:rFonts w:ascii="Arial" w:hAnsi="Arial" w:cs="Arial"/>
        </w:rPr>
        <w:t>de cumplimiento).</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92,4%</w:t>
      </w:r>
    </w:p>
    <w:p w:rsidR="00F87902" w:rsidRDefault="00F87902">
      <w:pPr>
        <w:ind w:left="720"/>
        <w:jc w:val="both"/>
        <w:rPr>
          <w:b/>
          <w:sz w:val="28"/>
          <w:u w:val="single"/>
        </w:rPr>
      </w:pPr>
    </w:p>
    <w:p w:rsidR="00F87902" w:rsidRDefault="00F87902">
      <w:pPr>
        <w:ind w:left="720"/>
        <w:jc w:val="both"/>
        <w:rPr>
          <w:b/>
          <w:sz w:val="28"/>
          <w:u w:val="single"/>
        </w:rPr>
      </w:pPr>
    </w:p>
    <w:p w:rsidR="00F87902" w:rsidRDefault="00A519F9">
      <w:pPr>
        <w:jc w:val="both"/>
        <w:rPr>
          <w:b/>
          <w:sz w:val="28"/>
          <w:u w:val="single"/>
        </w:rPr>
      </w:pPr>
      <w:r>
        <w:rPr>
          <w:b/>
          <w:sz w:val="28"/>
          <w:u w:val="single"/>
        </w:rPr>
        <w:t xml:space="preserve">Objetivo 2. </w:t>
      </w:r>
    </w:p>
    <w:p w:rsidR="00F87902" w:rsidRDefault="00A519F9">
      <w:pPr>
        <w:jc w:val="both"/>
        <w:rPr>
          <w:rFonts w:ascii="Arial" w:hAnsi="Arial" w:cs="Arial"/>
        </w:rPr>
      </w:pPr>
      <w:r>
        <w:rPr>
          <w:rFonts w:ascii="Arial" w:hAnsi="Arial" w:cs="Arial"/>
        </w:rPr>
        <w:t>Fortalecer el quehacer académico mediante la inversión en formación de recursos humanos, y en equipo científico y tecnológico, en las áreas prioritarias del Plan de Mejoramiento Institucional (PMI).</w:t>
      </w:r>
    </w:p>
    <w:p w:rsidR="00F87902" w:rsidRDefault="00F87902">
      <w:pPr>
        <w:jc w:val="both"/>
        <w:rPr>
          <w:rFonts w:ascii="Arial" w:hAnsi="Arial" w:cs="Arial"/>
        </w:rPr>
      </w:pPr>
    </w:p>
    <w:p w:rsidR="00F87902" w:rsidRDefault="00A519F9">
      <w:pPr>
        <w:ind w:left="720"/>
        <w:jc w:val="both"/>
        <w:rPr>
          <w:b/>
          <w:sz w:val="28"/>
          <w:u w:val="single"/>
        </w:rPr>
      </w:pPr>
      <w:r>
        <w:rPr>
          <w:b/>
          <w:sz w:val="28"/>
          <w:u w:val="single"/>
        </w:rPr>
        <w:t xml:space="preserve">Meta 2.1. </w:t>
      </w:r>
    </w:p>
    <w:p w:rsidR="00F87902" w:rsidRDefault="00A519F9">
      <w:pPr>
        <w:ind w:left="720"/>
        <w:jc w:val="both"/>
        <w:rPr>
          <w:rFonts w:ascii="Arial" w:hAnsi="Arial" w:cs="Arial"/>
        </w:rPr>
      </w:pPr>
      <w:r>
        <w:rPr>
          <w:rFonts w:ascii="Arial" w:hAnsi="Arial" w:cs="Arial"/>
        </w:rPr>
        <w:t xml:space="preserve">Adjudicar y dar seguimiento a </w:t>
      </w:r>
      <w:r>
        <w:rPr>
          <w:rFonts w:ascii="Arial" w:hAnsi="Arial" w:cs="Arial"/>
          <w:b/>
        </w:rPr>
        <w:t>30</w:t>
      </w:r>
      <w:r>
        <w:rPr>
          <w:rFonts w:ascii="Arial" w:hAnsi="Arial" w:cs="Arial"/>
        </w:rPr>
        <w:t xml:space="preserve"> becarios, en concordancia con lo establecido en el PMI.</w:t>
      </w:r>
    </w:p>
    <w:p w:rsidR="00F87902" w:rsidRDefault="00F87902">
      <w:pPr>
        <w:jc w:val="both"/>
        <w:rPr>
          <w:rFonts w:ascii="Arial" w:hAnsi="Arial" w:cs="Arial"/>
        </w:rPr>
      </w:pPr>
    </w:p>
    <w:p w:rsidR="00F87902" w:rsidRDefault="00F87902">
      <w:pPr>
        <w:ind w:left="720"/>
        <w:jc w:val="both"/>
        <w:rPr>
          <w:b/>
          <w:sz w:val="28"/>
          <w:u w:val="single"/>
        </w:rPr>
      </w:pPr>
    </w:p>
    <w:p w:rsidR="00F87902" w:rsidRDefault="00A519F9">
      <w:pPr>
        <w:ind w:left="720"/>
        <w:jc w:val="both"/>
        <w:rPr>
          <w:b/>
          <w:sz w:val="28"/>
          <w:u w:val="single"/>
        </w:rPr>
      </w:pPr>
      <w:r>
        <w:br w:type="page"/>
      </w:r>
    </w:p>
    <w:p w:rsidR="00F87902" w:rsidRDefault="00A519F9">
      <w:pPr>
        <w:ind w:left="720"/>
        <w:jc w:val="both"/>
      </w:pPr>
      <w:r>
        <w:rPr>
          <w:b/>
          <w:sz w:val="28"/>
          <w:u w:val="single"/>
        </w:rPr>
        <w:lastRenderedPageBreak/>
        <w:t xml:space="preserve">Síntesis de resultados. </w:t>
      </w:r>
    </w:p>
    <w:p w:rsidR="00F87902" w:rsidRDefault="00F87902">
      <w:pPr>
        <w:tabs>
          <w:tab w:val="left" w:pos="2277"/>
        </w:tabs>
        <w:ind w:left="720"/>
        <w:jc w:val="both"/>
        <w:rPr>
          <w:rFonts w:ascii="Arial" w:hAnsi="Arial" w:cs="Arial"/>
        </w:rPr>
      </w:pPr>
    </w:p>
    <w:p w:rsidR="00F87902" w:rsidRDefault="00A519F9">
      <w:pPr>
        <w:tabs>
          <w:tab w:val="left" w:pos="2277"/>
        </w:tabs>
        <w:ind w:left="720"/>
        <w:jc w:val="both"/>
      </w:pPr>
      <w:r>
        <w:rPr>
          <w:rFonts w:ascii="Arial" w:hAnsi="Arial" w:cs="Arial"/>
        </w:rPr>
        <w:t xml:space="preserve">Se estima un cumplimiento del </w:t>
      </w:r>
      <w:r w:rsidRPr="009B69F5">
        <w:rPr>
          <w:rFonts w:ascii="Arial" w:hAnsi="Arial" w:cs="Arial"/>
          <w:b/>
        </w:rPr>
        <w:t>100%</w:t>
      </w:r>
      <w:r>
        <w:rPr>
          <w:rFonts w:ascii="Arial" w:hAnsi="Arial" w:cs="Arial"/>
        </w:rPr>
        <w:t xml:space="preserve"> por cuanto </w:t>
      </w:r>
      <w:r w:rsidR="009B69F5">
        <w:rPr>
          <w:rFonts w:ascii="Arial" w:hAnsi="Arial" w:cs="Arial"/>
        </w:rPr>
        <w:t>al corte de este informe se habí</w:t>
      </w:r>
      <w:r>
        <w:rPr>
          <w:rFonts w:ascii="Arial" w:hAnsi="Arial" w:cs="Arial"/>
        </w:rPr>
        <w:t>an tramitado en total 34 becas, de las cuales 33 fueron aprobadas por la Junta de Becas</w:t>
      </w:r>
      <w:r w:rsidR="009B69F5">
        <w:rPr>
          <w:rFonts w:ascii="Arial" w:hAnsi="Arial" w:cs="Arial"/>
        </w:rPr>
        <w:t>,</w:t>
      </w:r>
      <w:r>
        <w:rPr>
          <w:rFonts w:ascii="Arial" w:hAnsi="Arial" w:cs="Arial"/>
        </w:rPr>
        <w:t xml:space="preserve"> y </w:t>
      </w:r>
      <w:r w:rsidR="009B69F5">
        <w:rPr>
          <w:rFonts w:ascii="Arial" w:hAnsi="Arial" w:cs="Arial"/>
        </w:rPr>
        <w:t xml:space="preserve">los </w:t>
      </w:r>
      <w:r>
        <w:rPr>
          <w:rFonts w:ascii="Arial" w:hAnsi="Arial" w:cs="Arial"/>
        </w:rPr>
        <w:t>becarios habían iniciado sus estudios formalmente.</w:t>
      </w:r>
    </w:p>
    <w:p w:rsidR="00F87902" w:rsidRDefault="00A519F9">
      <w:pPr>
        <w:tabs>
          <w:tab w:val="left" w:pos="2277"/>
        </w:tabs>
        <w:ind w:left="720"/>
        <w:jc w:val="both"/>
      </w:pPr>
      <w:r>
        <w:rPr>
          <w:rFonts w:ascii="Arial" w:hAnsi="Arial" w:cs="Arial"/>
          <w:color w:val="0070C0"/>
        </w:rPr>
        <w:t>.</w:t>
      </w:r>
    </w:p>
    <w:p w:rsidR="00F87902" w:rsidRDefault="00A519F9">
      <w:pPr>
        <w:ind w:left="708"/>
        <w:jc w:val="both"/>
        <w:rPr>
          <w:b/>
          <w:bCs/>
          <w:i/>
          <w:sz w:val="28"/>
          <w:szCs w:val="28"/>
        </w:rPr>
      </w:pPr>
      <w:r>
        <w:rPr>
          <w:b/>
          <w:sz w:val="28"/>
          <w:u w:val="single"/>
        </w:rPr>
        <w:t>Ejecución presupuestaria.</w:t>
      </w:r>
      <w:r>
        <w:rPr>
          <w:b/>
          <w:i/>
          <w:sz w:val="28"/>
        </w:rPr>
        <w:t>26,2%</w:t>
      </w:r>
    </w:p>
    <w:p w:rsidR="00F87902" w:rsidRDefault="00F87902">
      <w:pPr>
        <w:jc w:val="both"/>
        <w:rPr>
          <w:rFonts w:ascii="Arial" w:hAnsi="Arial" w:cs="Arial"/>
        </w:rPr>
      </w:pPr>
    </w:p>
    <w:p w:rsidR="00F87902" w:rsidRDefault="00A519F9">
      <w:pPr>
        <w:ind w:left="1068"/>
        <w:jc w:val="both"/>
        <w:rPr>
          <w:rFonts w:ascii="Arial" w:hAnsi="Arial" w:cs="Arial"/>
          <w:i/>
          <w:sz w:val="22"/>
          <w:szCs w:val="22"/>
        </w:rPr>
      </w:pPr>
      <w:r>
        <w:rPr>
          <w:rFonts w:ascii="Arial" w:hAnsi="Arial" w:cs="Arial"/>
          <w:i/>
          <w:sz w:val="22"/>
          <w:szCs w:val="22"/>
        </w:rPr>
        <w:t>La baja ejecución en la meta se explica por el cronograma de desembolsos y ejecución de los recursos provenientes del Banco Mundial para el Plan de Mejoramiento Institucional, el cual se va cumpliendo según lo propuesto y se da el seguimiento correspondiente en los informes de avance del proyecto.</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detallado al Plan de Mejoramiento Institucional, específicamente al cronograma de ejecución de becas y ayudas a funcionarios.</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i/>
          <w:sz w:val="22"/>
          <w:szCs w:val="22"/>
        </w:rPr>
      </w:pPr>
      <w:r>
        <w:rPr>
          <w:rFonts w:ascii="Arial" w:hAnsi="Arial" w:cs="Arial"/>
        </w:rPr>
        <w:t>Rectoría, Unidad coordinadora del proyecto institucional, Junta de Becas.</w:t>
      </w:r>
    </w:p>
    <w:p w:rsidR="00F87902" w:rsidRDefault="00F87902">
      <w:pPr>
        <w:ind w:left="720"/>
        <w:jc w:val="both"/>
        <w:rPr>
          <w:b/>
          <w:sz w:val="28"/>
        </w:rPr>
      </w:pPr>
    </w:p>
    <w:p w:rsidR="00F87902" w:rsidRDefault="00F87902">
      <w:pPr>
        <w:ind w:left="720"/>
        <w:jc w:val="both"/>
        <w:rPr>
          <w:b/>
          <w:sz w:val="28"/>
        </w:rPr>
      </w:pPr>
    </w:p>
    <w:p w:rsidR="00F87902" w:rsidRDefault="00A519F9">
      <w:pPr>
        <w:ind w:left="720"/>
        <w:jc w:val="both"/>
        <w:rPr>
          <w:b/>
          <w:sz w:val="28"/>
          <w:u w:val="single"/>
        </w:rPr>
      </w:pPr>
      <w:r>
        <w:rPr>
          <w:b/>
          <w:sz w:val="28"/>
          <w:u w:val="single"/>
        </w:rPr>
        <w:t xml:space="preserve">Meta 2.2. </w:t>
      </w:r>
    </w:p>
    <w:p w:rsidR="00F87902" w:rsidRDefault="00A519F9">
      <w:pPr>
        <w:ind w:left="720"/>
        <w:jc w:val="both"/>
        <w:rPr>
          <w:rFonts w:ascii="Arial" w:hAnsi="Arial" w:cs="Arial"/>
        </w:rPr>
      </w:pPr>
      <w:r>
        <w:rPr>
          <w:rFonts w:ascii="Arial" w:hAnsi="Arial" w:cs="Arial"/>
        </w:rPr>
        <w:t xml:space="preserve">Adjudicar </w:t>
      </w:r>
      <w:r>
        <w:rPr>
          <w:rFonts w:ascii="Arial" w:hAnsi="Arial" w:cs="Arial"/>
          <w:b/>
        </w:rPr>
        <w:t>2</w:t>
      </w:r>
      <w:r>
        <w:rPr>
          <w:rFonts w:ascii="Arial" w:hAnsi="Arial" w:cs="Arial"/>
        </w:rPr>
        <w:t xml:space="preserve"> obras de infraestructura de acuerdo con lo establecido en el plan de fortalecimiento institucional.</w:t>
      </w:r>
    </w:p>
    <w:p w:rsidR="00F87902" w:rsidRDefault="00F87902">
      <w:pPr>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sz w:val="22"/>
          <w:szCs w:val="22"/>
        </w:rPr>
      </w:pPr>
      <w:r>
        <w:rPr>
          <w:rFonts w:ascii="Arial" w:hAnsi="Arial" w:cs="Arial"/>
          <w:sz w:val="22"/>
          <w:szCs w:val="22"/>
        </w:rPr>
        <w:t xml:space="preserve">Se estima un cumplimiento del </w:t>
      </w:r>
      <w:r>
        <w:rPr>
          <w:rFonts w:ascii="Arial" w:hAnsi="Arial" w:cs="Arial"/>
          <w:b/>
          <w:sz w:val="22"/>
          <w:szCs w:val="22"/>
        </w:rPr>
        <w:t>100%</w:t>
      </w:r>
      <w:r>
        <w:rPr>
          <w:rFonts w:ascii="Arial" w:hAnsi="Arial" w:cs="Arial"/>
          <w:sz w:val="22"/>
          <w:szCs w:val="22"/>
        </w:rPr>
        <w:t>, no obstante la ejecución presupuestaria. Se adjudicaron dos obras: edificio de Áreas/Estudios Generales y el edificio de Emprendedurismo, Educación Permanente y Logística.  Adicionalmente, se inició el proceso de licitación del edificio de Ciencias del Movimiento Humano y Terapias complementarias, respecto de lo cual se trabaja en la evaluación de las ofertas. Por otra parte, los edificios de Nuevos procesos industriales, Física Médica y el complejo artístico deportivo requieren de procesos de licitación pública internacional, y los tres cuentan ya con la conformidad técnica por parte del Banco Mundial.</w:t>
      </w:r>
    </w:p>
    <w:p w:rsidR="00F87902" w:rsidRDefault="00A519F9">
      <w:pPr>
        <w:tabs>
          <w:tab w:val="left" w:pos="2277"/>
        </w:tabs>
        <w:ind w:left="720"/>
        <w:jc w:val="both"/>
        <w:rPr>
          <w:rFonts w:ascii="Arial" w:hAnsi="Arial" w:cs="Arial"/>
        </w:rPr>
      </w:pPr>
      <w:r>
        <w:rPr>
          <w:rFonts w:ascii="Arial" w:hAnsi="Arial" w:cs="Arial"/>
        </w:rPr>
        <w:tab/>
      </w:r>
    </w:p>
    <w:p w:rsidR="00F87902" w:rsidRDefault="00A519F9">
      <w:pPr>
        <w:ind w:left="708"/>
        <w:jc w:val="both"/>
        <w:rPr>
          <w:b/>
          <w:bCs/>
          <w:sz w:val="28"/>
          <w:szCs w:val="28"/>
        </w:rPr>
      </w:pPr>
      <w:r>
        <w:rPr>
          <w:b/>
          <w:sz w:val="28"/>
          <w:u w:val="single"/>
        </w:rPr>
        <w:t>Ejecución presupuestaria.</w:t>
      </w:r>
      <w:r>
        <w:rPr>
          <w:b/>
          <w:i/>
          <w:sz w:val="28"/>
        </w:rPr>
        <w:t>1,5</w:t>
      </w:r>
      <w:r>
        <w:rPr>
          <w:b/>
          <w:bCs/>
          <w:i/>
          <w:sz w:val="28"/>
          <w:szCs w:val="28"/>
        </w:rPr>
        <w:t>%</w:t>
      </w:r>
    </w:p>
    <w:p w:rsidR="00F87902" w:rsidRDefault="00F87902">
      <w:pPr>
        <w:jc w:val="both"/>
        <w:rPr>
          <w:rFonts w:ascii="Arial" w:hAnsi="Arial" w:cs="Arial"/>
        </w:rPr>
      </w:pPr>
    </w:p>
    <w:p w:rsidR="00F87902" w:rsidRDefault="00A519F9">
      <w:pPr>
        <w:ind w:left="1068"/>
        <w:jc w:val="both"/>
        <w:rPr>
          <w:rFonts w:ascii="Arial" w:hAnsi="Arial" w:cs="Arial"/>
          <w:i/>
          <w:sz w:val="22"/>
          <w:szCs w:val="22"/>
        </w:rPr>
      </w:pPr>
      <w:r>
        <w:rPr>
          <w:rFonts w:ascii="Arial" w:hAnsi="Arial" w:cs="Arial"/>
          <w:i/>
          <w:sz w:val="22"/>
          <w:szCs w:val="22"/>
        </w:rPr>
        <w:t>La baja ejecución presupuestaria en la meta se explica por los procesos de licitación y construcción que tienen los proyectos de infraestructura incluidos en el Plan de Mejoramiento Institucional (Banco Mundial). De acuerdo con el cronograma de ejecución durante los años 2016 y 2017 se concentra la construcción de dichos proyectos.</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br w:type="page"/>
      </w:r>
    </w:p>
    <w:p w:rsidR="00F87902" w:rsidRDefault="00A519F9">
      <w:pPr>
        <w:ind w:left="1416"/>
        <w:jc w:val="both"/>
      </w:pPr>
      <w:r>
        <w:rPr>
          <w:b/>
          <w:sz w:val="28"/>
          <w:u w:val="single"/>
        </w:rPr>
        <w:lastRenderedPageBreak/>
        <w:t>Posibles áreas de atención</w:t>
      </w:r>
    </w:p>
    <w:p w:rsidR="00F87902" w:rsidRDefault="00A519F9">
      <w:pPr>
        <w:ind w:left="1416"/>
        <w:jc w:val="both"/>
        <w:rPr>
          <w:rFonts w:ascii="Arial" w:hAnsi="Arial" w:cs="Arial"/>
        </w:rPr>
      </w:pPr>
      <w:r>
        <w:rPr>
          <w:rFonts w:ascii="Arial" w:hAnsi="Arial" w:cs="Arial"/>
        </w:rPr>
        <w:t>Dar seguimiento detallado al Plan de Mejoramiento Institucional, específicamente al cronograma de ejecución de obras.</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szCs w:val="22"/>
        </w:rPr>
      </w:pPr>
      <w:r>
        <w:rPr>
          <w:rFonts w:ascii="Arial" w:hAnsi="Arial" w:cs="Arial"/>
        </w:rPr>
        <w:t>Rectoría, Unidad coordinadora del proyecto institucional, Programa de desarrollo y mantenimiento de infraestructura institucional (Prodemi).</w:t>
      </w:r>
    </w:p>
    <w:p w:rsidR="00F87902" w:rsidRDefault="00F87902">
      <w:pPr>
        <w:jc w:val="both"/>
        <w:rPr>
          <w:b/>
          <w:sz w:val="28"/>
          <w:u w:val="single"/>
        </w:rPr>
      </w:pPr>
    </w:p>
    <w:p w:rsidR="00F87902" w:rsidRDefault="00A519F9">
      <w:pPr>
        <w:jc w:val="both"/>
        <w:rPr>
          <w:b/>
          <w:sz w:val="28"/>
          <w:u w:val="single"/>
        </w:rPr>
      </w:pPr>
      <w:r>
        <w:rPr>
          <w:b/>
          <w:sz w:val="28"/>
          <w:u w:val="single"/>
        </w:rPr>
        <w:t xml:space="preserve">Objetivo 3. </w:t>
      </w:r>
    </w:p>
    <w:p w:rsidR="00F87902" w:rsidRDefault="00A519F9">
      <w:pPr>
        <w:jc w:val="both"/>
        <w:rPr>
          <w:rFonts w:ascii="Arial" w:hAnsi="Arial" w:cs="Arial"/>
        </w:rPr>
      </w:pPr>
      <w:r>
        <w:rPr>
          <w:rFonts w:ascii="Arial" w:hAnsi="Arial" w:cs="Arial"/>
        </w:rPr>
        <w:t>Generar y transferir conocimiento mediante el desarrollo de programas, proyectos y actividades académicas de investigación, extensión e integradas de impacto nacional, congruentes con las áreas de conocimiento definidas  en el ámbito institucional, para contribuir a la transformación de la sociedad.</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3.1.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191 PPAA</w:t>
      </w:r>
      <w:r>
        <w:rPr>
          <w:rFonts w:ascii="Arial" w:hAnsi="Arial" w:cs="Arial"/>
        </w:rPr>
        <w:t xml:space="preserve"> de investigación según prioridades definidas.</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ejecutaron </w:t>
      </w:r>
      <w:r>
        <w:rPr>
          <w:rFonts w:ascii="Arial" w:hAnsi="Arial" w:cs="Arial"/>
          <w:b/>
        </w:rPr>
        <w:t>219 PPAA de investigación</w:t>
      </w:r>
      <w:r>
        <w:rPr>
          <w:rFonts w:ascii="Arial" w:hAnsi="Arial" w:cs="Arial"/>
        </w:rPr>
        <w:t>, número que supera lo considerado en formulación(</w:t>
      </w:r>
      <w:r>
        <w:rPr>
          <w:rFonts w:ascii="Arial" w:hAnsi="Arial" w:cs="Arial"/>
          <w:b/>
        </w:rPr>
        <w:t>100</w:t>
      </w:r>
      <w:r>
        <w:rPr>
          <w:rFonts w:ascii="Arial" w:hAnsi="Arial" w:cs="Arial"/>
        </w:rPr>
        <w:t>% de cumplimiento).</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88,8%</w:t>
      </w:r>
    </w:p>
    <w:p w:rsidR="00F87902" w:rsidRDefault="00F87902">
      <w:pPr>
        <w:ind w:left="708"/>
        <w:jc w:val="both"/>
        <w:rPr>
          <w:b/>
          <w:bCs/>
          <w:sz w:val="28"/>
          <w:szCs w:val="28"/>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3.2.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46  PPAA</w:t>
      </w:r>
      <w:r>
        <w:rPr>
          <w:rFonts w:ascii="Arial" w:hAnsi="Arial" w:cs="Arial"/>
        </w:rPr>
        <w:t xml:space="preserve"> de extensión que fortalezcan el aporte de la UNA a las comunidades, mediante una extensión universitaria pertinente.</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desarrollaron </w:t>
      </w:r>
      <w:r>
        <w:rPr>
          <w:rFonts w:ascii="Arial" w:hAnsi="Arial" w:cs="Arial"/>
          <w:b/>
        </w:rPr>
        <w:t>54 PPAA de extensión</w:t>
      </w:r>
      <w:r>
        <w:rPr>
          <w:rFonts w:ascii="Arial" w:hAnsi="Arial" w:cs="Arial"/>
        </w:rPr>
        <w:t>, número que supera el considerado en la etapa de formulación (</w:t>
      </w:r>
      <w:r>
        <w:rPr>
          <w:rFonts w:ascii="Arial" w:hAnsi="Arial" w:cs="Arial"/>
          <w:b/>
        </w:rPr>
        <w:t xml:space="preserve">100% </w:t>
      </w:r>
      <w:r>
        <w:rPr>
          <w:rFonts w:ascii="Arial" w:hAnsi="Arial" w:cs="Arial"/>
        </w:rPr>
        <w:t xml:space="preserve">de cumplimiento). </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80,3%</w:t>
      </w:r>
    </w:p>
    <w:p w:rsidR="00F87902" w:rsidRDefault="00F87902">
      <w:pPr>
        <w:ind w:left="708"/>
        <w:jc w:val="both"/>
        <w:rPr>
          <w:b/>
          <w:color w:val="0070C0"/>
          <w:sz w:val="28"/>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3.3.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186 PPAA</w:t>
      </w:r>
      <w:r>
        <w:rPr>
          <w:rFonts w:ascii="Arial" w:hAnsi="Arial" w:cs="Arial"/>
        </w:rPr>
        <w:t xml:space="preserve">  integradas  que fortalezcan la vinculación y la proyección de las áreas académicas. </w:t>
      </w:r>
    </w:p>
    <w:p w:rsidR="00F87902" w:rsidRDefault="00F87902">
      <w:pPr>
        <w:ind w:left="720"/>
        <w:jc w:val="both"/>
        <w:rPr>
          <w:rFonts w:ascii="Arial" w:hAnsi="Arial" w:cs="Arial"/>
          <w:lang w:val="es-CR"/>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ejecutaron </w:t>
      </w:r>
      <w:r>
        <w:rPr>
          <w:rFonts w:ascii="Arial" w:hAnsi="Arial" w:cs="Arial"/>
          <w:b/>
        </w:rPr>
        <w:t>215 PPAA integrados</w:t>
      </w:r>
      <w:r>
        <w:rPr>
          <w:rFonts w:ascii="Arial" w:hAnsi="Arial" w:cs="Arial"/>
        </w:rPr>
        <w:t>, lo cual supera el número formulado(</w:t>
      </w:r>
      <w:r>
        <w:rPr>
          <w:rFonts w:ascii="Arial" w:hAnsi="Arial" w:cs="Arial"/>
          <w:b/>
        </w:rPr>
        <w:t xml:space="preserve">100% </w:t>
      </w:r>
      <w:r>
        <w:rPr>
          <w:rFonts w:ascii="Arial" w:hAnsi="Arial" w:cs="Arial"/>
        </w:rPr>
        <w:t xml:space="preserve">de cumplimiento). </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lastRenderedPageBreak/>
        <w:t>Ejecución presupuestaria.</w:t>
      </w:r>
      <w:r>
        <w:rPr>
          <w:b/>
          <w:bCs/>
          <w:i/>
          <w:sz w:val="28"/>
          <w:szCs w:val="28"/>
        </w:rPr>
        <w:t>94,3%</w:t>
      </w:r>
    </w:p>
    <w:p w:rsidR="00F87902" w:rsidRDefault="00F87902">
      <w:pPr>
        <w:ind w:left="720"/>
        <w:jc w:val="both"/>
        <w:rPr>
          <w:b/>
          <w:sz w:val="28"/>
          <w:u w:val="single"/>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3.4.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30</w:t>
      </w:r>
      <w:r>
        <w:rPr>
          <w:rFonts w:ascii="Arial" w:hAnsi="Arial" w:cs="Arial"/>
        </w:rPr>
        <w:t xml:space="preserve"> actividades de sistematización y divulgación (revistas)  que permita fortalecer la relación universidad-sociedad.</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Se desarrollaron 38 tipos de actividades (</w:t>
      </w:r>
      <w:r>
        <w:rPr>
          <w:rFonts w:ascii="Arial" w:hAnsi="Arial" w:cs="Arial"/>
          <w:b/>
        </w:rPr>
        <w:t>100%</w:t>
      </w:r>
      <w:r>
        <w:rPr>
          <w:rFonts w:ascii="Arial" w:hAnsi="Arial" w:cs="Arial"/>
        </w:rPr>
        <w:t xml:space="preserve"> de cumplimiento) con diferentes grados de logro: publicación de volúmenes de diversas revistas, canjes de revistas con otros países, artículos publicados en revistas científicas, asesorías, piezas de material divulgativo como póster y ponencias, indexaciones, ejecución del proyecto Biblioteca Infantil Miriam Álvarez, etc.; con amplia participación. </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89,1%</w:t>
      </w:r>
    </w:p>
    <w:p w:rsidR="00F87902" w:rsidRDefault="00F87902">
      <w:pPr>
        <w:ind w:left="720"/>
        <w:jc w:val="both"/>
        <w:rPr>
          <w:b/>
          <w:sz w:val="28"/>
          <w:u w:val="single"/>
        </w:rPr>
      </w:pPr>
    </w:p>
    <w:p w:rsidR="003668A3" w:rsidRDefault="003668A3">
      <w:pPr>
        <w:ind w:left="720"/>
        <w:jc w:val="both"/>
        <w:rPr>
          <w:b/>
          <w:sz w:val="28"/>
          <w:u w:val="single"/>
        </w:rPr>
      </w:pPr>
    </w:p>
    <w:p w:rsidR="00F87902" w:rsidRDefault="00A519F9">
      <w:pPr>
        <w:ind w:left="720"/>
        <w:jc w:val="both"/>
      </w:pPr>
      <w:r>
        <w:rPr>
          <w:b/>
          <w:sz w:val="28"/>
          <w:u w:val="single"/>
        </w:rPr>
        <w:t xml:space="preserve">Meta 3.5.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41 proyectos</w:t>
      </w:r>
      <w:r>
        <w:rPr>
          <w:rFonts w:ascii="Arial" w:hAnsi="Arial" w:cs="Arial"/>
        </w:rPr>
        <w:t xml:space="preserve"> de producción académica  y artística, o de una combinación de ambas.</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Síntesis de resultados.</w:t>
      </w:r>
    </w:p>
    <w:p w:rsidR="00F87902" w:rsidRDefault="00A519F9">
      <w:pPr>
        <w:ind w:left="708"/>
        <w:jc w:val="both"/>
      </w:pPr>
      <w:r>
        <w:rPr>
          <w:rFonts w:ascii="Arial" w:hAnsi="Arial" w:cs="Arial"/>
        </w:rPr>
        <w:t xml:space="preserve">Se desarrollaron al menos unos 19 </w:t>
      </w:r>
      <w:r>
        <w:rPr>
          <w:rFonts w:ascii="Arial" w:hAnsi="Arial" w:cs="Arial"/>
          <w:color w:val="auto"/>
        </w:rPr>
        <w:t xml:space="preserve">proyectos de la naturaleza descrita en la meta </w:t>
      </w:r>
      <w:r w:rsidR="009B69F5">
        <w:rPr>
          <w:rFonts w:ascii="Arial" w:hAnsi="Arial" w:cs="Arial"/>
          <w:color w:val="auto"/>
        </w:rPr>
        <w:t>por lo que se considera que la meta se logró</w:t>
      </w:r>
      <w:r>
        <w:rPr>
          <w:rFonts w:ascii="Arial" w:hAnsi="Arial" w:cs="Arial"/>
          <w:color w:val="auto"/>
        </w:rPr>
        <w:t xml:space="preserve"> en un </w:t>
      </w:r>
      <w:r w:rsidRPr="009B69F5">
        <w:rPr>
          <w:rFonts w:ascii="Arial" w:hAnsi="Arial" w:cs="Arial"/>
          <w:b/>
          <w:color w:val="auto"/>
        </w:rPr>
        <w:t>50%</w:t>
      </w:r>
      <w:r w:rsidR="009B69F5">
        <w:rPr>
          <w:rFonts w:ascii="Arial" w:hAnsi="Arial" w:cs="Arial"/>
          <w:color w:val="auto"/>
        </w:rPr>
        <w:t>,</w:t>
      </w:r>
      <w:r>
        <w:rPr>
          <w:rFonts w:ascii="Arial" w:hAnsi="Arial" w:cs="Arial"/>
          <w:color w:val="auto"/>
        </w:rPr>
        <w:t xml:space="preserve"> mediante </w:t>
      </w:r>
      <w:r>
        <w:rPr>
          <w:rFonts w:ascii="Arial" w:hAnsi="Arial" w:cs="Arial"/>
        </w:rPr>
        <w:t>actividades interdisciplinarias e interinstitucionales</w:t>
      </w:r>
      <w:r w:rsidR="009B69F5">
        <w:rPr>
          <w:rFonts w:ascii="Arial" w:hAnsi="Arial" w:cs="Arial"/>
        </w:rPr>
        <w:t>,</w:t>
      </w:r>
      <w:r>
        <w:rPr>
          <w:rFonts w:ascii="Arial" w:hAnsi="Arial" w:cs="Arial"/>
        </w:rPr>
        <w:t xml:space="preserve"> con la finalidad de beneficiar cíclicamente la biodiversidad marina, </w:t>
      </w:r>
      <w:r w:rsidR="009B69F5">
        <w:rPr>
          <w:rFonts w:ascii="Arial" w:hAnsi="Arial" w:cs="Arial"/>
        </w:rPr>
        <w:t xml:space="preserve">dar </w:t>
      </w:r>
      <w:r>
        <w:rPr>
          <w:rFonts w:ascii="Arial" w:hAnsi="Arial" w:cs="Arial"/>
        </w:rPr>
        <w:t>mantenimiento de las condiciones necesarias para que los docentes puedan realizar las prácticas en la finca experimental Santa Lucía, entre otras.</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77,1 %</w:t>
      </w:r>
    </w:p>
    <w:p w:rsidR="00F87902" w:rsidRDefault="00F87902">
      <w:pPr>
        <w:jc w:val="both"/>
        <w:rPr>
          <w:b/>
          <w:sz w:val="28"/>
          <w:u w:val="single"/>
        </w:rPr>
      </w:pPr>
    </w:p>
    <w:p w:rsidR="00F87902" w:rsidRDefault="00A519F9">
      <w:pPr>
        <w:ind w:left="1068"/>
        <w:jc w:val="both"/>
      </w:pPr>
      <w:r>
        <w:rPr>
          <w:rFonts w:ascii="Arial" w:hAnsi="Arial" w:cs="Arial"/>
          <w:i/>
          <w:sz w:val="22"/>
          <w:szCs w:val="22"/>
        </w:rPr>
        <w:t xml:space="preserve">La baja ejecución en la meta se debe a la no ejecución de ciertos proyectos de producción, así como a la existencia de procesos de licitación que generaron compromisos durante el 2015 y que serán ejecutados en el 2016. </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 xml:space="preserve">Dar seguimiento específico al desarrollo de los proyectos de producción y su correspondiente ejecución presupuestaria, de acuerdo con los respectivos cronogramas establecidos. Coordinación con los responsables de estos proyectos para garantizar su adecuada ejecución.                                                                                                                                                                                                                                                                              </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i/>
          <w:sz w:val="22"/>
          <w:szCs w:val="22"/>
        </w:rPr>
      </w:pPr>
      <w:r>
        <w:rPr>
          <w:rFonts w:ascii="Arial" w:hAnsi="Arial" w:cs="Arial"/>
        </w:rPr>
        <w:t>Encargados de proyectos, unidades ejecutoras, Rectoría.</w:t>
      </w:r>
    </w:p>
    <w:p w:rsidR="00F87902" w:rsidRDefault="00F87902">
      <w:pPr>
        <w:jc w:val="both"/>
        <w:rPr>
          <w:b/>
          <w:sz w:val="28"/>
          <w:u w:val="single"/>
        </w:rPr>
      </w:pPr>
    </w:p>
    <w:p w:rsidR="00F87902" w:rsidRDefault="00A519F9">
      <w:pPr>
        <w:jc w:val="both"/>
        <w:rPr>
          <w:b/>
          <w:sz w:val="28"/>
          <w:u w:val="single"/>
        </w:rPr>
      </w:pPr>
      <w:r>
        <w:rPr>
          <w:b/>
          <w:sz w:val="28"/>
          <w:u w:val="single"/>
        </w:rPr>
        <w:lastRenderedPageBreak/>
        <w:t xml:space="preserve">Objetivo 4. </w:t>
      </w:r>
    </w:p>
    <w:p w:rsidR="00F87902" w:rsidRDefault="00F87902">
      <w:pPr>
        <w:jc w:val="both"/>
        <w:rPr>
          <w:b/>
          <w:sz w:val="28"/>
          <w:u w:val="single"/>
        </w:rPr>
      </w:pPr>
    </w:p>
    <w:p w:rsidR="00F87902" w:rsidRDefault="00A519F9">
      <w:pPr>
        <w:jc w:val="both"/>
        <w:rPr>
          <w:rFonts w:ascii="Arial" w:hAnsi="Arial" w:cs="Arial"/>
        </w:rPr>
      </w:pPr>
      <w:r>
        <w:rPr>
          <w:rFonts w:ascii="Arial" w:hAnsi="Arial" w:cs="Arial"/>
        </w:rPr>
        <w:t>Fomentar el desarrollo regional mediante la atracción de estudiantes en las sedes de la Universidad Nacional y el desarrollo de actividades de impacto nacional.</w:t>
      </w:r>
    </w:p>
    <w:p w:rsidR="00F87902" w:rsidRDefault="00F87902">
      <w:pPr>
        <w:ind w:left="720"/>
        <w:jc w:val="both"/>
        <w:rPr>
          <w:b/>
          <w:color w:val="0070C0"/>
          <w:sz w:val="28"/>
          <w:u w:val="single"/>
        </w:rPr>
      </w:pPr>
    </w:p>
    <w:p w:rsidR="00F87902" w:rsidRDefault="00A519F9">
      <w:pPr>
        <w:ind w:left="720"/>
        <w:jc w:val="both"/>
        <w:rPr>
          <w:b/>
          <w:sz w:val="28"/>
          <w:u w:val="single"/>
        </w:rPr>
      </w:pPr>
      <w:r>
        <w:rPr>
          <w:b/>
          <w:sz w:val="28"/>
          <w:u w:val="single"/>
        </w:rPr>
        <w:t xml:space="preserve">Meta 4.1. </w:t>
      </w:r>
    </w:p>
    <w:p w:rsidR="00F87902" w:rsidRDefault="00A519F9">
      <w:pPr>
        <w:ind w:left="708"/>
        <w:jc w:val="both"/>
        <w:rPr>
          <w:rFonts w:ascii="Arial" w:hAnsi="Arial" w:cs="Arial"/>
        </w:rPr>
      </w:pPr>
      <w:r>
        <w:rPr>
          <w:rFonts w:ascii="Arial" w:hAnsi="Arial" w:cs="Arial"/>
        </w:rPr>
        <w:t xml:space="preserve">Matricular </w:t>
      </w:r>
      <w:r>
        <w:rPr>
          <w:rFonts w:ascii="Arial" w:hAnsi="Arial" w:cs="Arial"/>
          <w:b/>
        </w:rPr>
        <w:t>4.277</w:t>
      </w:r>
      <w:r>
        <w:rPr>
          <w:rFonts w:ascii="Arial" w:hAnsi="Arial" w:cs="Arial"/>
        </w:rPr>
        <w:t xml:space="preserve"> estudiantes en las sedes regionales (1.717 en la Chorotega, 1.498 en la Brunca, 687 en Alajuela y 375 en Sarapiquí).</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color w:val="0070C0"/>
        </w:rPr>
      </w:pPr>
      <w:r>
        <w:rPr>
          <w:rFonts w:ascii="Arial" w:hAnsi="Arial" w:cs="Arial"/>
        </w:rPr>
        <w:t xml:space="preserve">Se matricularon </w:t>
      </w:r>
      <w:r>
        <w:rPr>
          <w:rFonts w:ascii="Arial" w:hAnsi="Arial" w:cs="Arial"/>
          <w:b/>
        </w:rPr>
        <w:t>4.136</w:t>
      </w:r>
      <w:r>
        <w:rPr>
          <w:rFonts w:ascii="Arial" w:hAnsi="Arial" w:cs="Arial"/>
        </w:rPr>
        <w:t xml:space="preserve"> estudiantes en sedes regionales (Chorotega, Brunca, Sarapiquí, Interuniversitaria de Alajuela), con lo cual el cumplimiento es del </w:t>
      </w:r>
      <w:r>
        <w:rPr>
          <w:rFonts w:ascii="Arial" w:hAnsi="Arial" w:cs="Arial"/>
          <w:b/>
        </w:rPr>
        <w:t>96,7%</w:t>
      </w:r>
      <w:r>
        <w:rPr>
          <w:rFonts w:ascii="Arial" w:hAnsi="Arial" w:cs="Arial"/>
        </w:rPr>
        <w:t xml:space="preserve">. </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84,7 %</w:t>
      </w:r>
    </w:p>
    <w:p w:rsidR="00F87902" w:rsidRDefault="00F87902">
      <w:pPr>
        <w:jc w:val="both"/>
        <w:rPr>
          <w:b/>
          <w:sz w:val="28"/>
          <w:u w:val="single"/>
        </w:rPr>
      </w:pPr>
    </w:p>
    <w:p w:rsidR="00F87902" w:rsidRDefault="00F87902">
      <w:pPr>
        <w:jc w:val="both"/>
        <w:rPr>
          <w:b/>
          <w:sz w:val="28"/>
          <w:u w:val="single"/>
        </w:rPr>
      </w:pPr>
    </w:p>
    <w:p w:rsidR="00F87902" w:rsidRDefault="00A519F9">
      <w:pPr>
        <w:jc w:val="both"/>
        <w:rPr>
          <w:b/>
          <w:sz w:val="28"/>
          <w:u w:val="single"/>
        </w:rPr>
      </w:pPr>
      <w:r>
        <w:rPr>
          <w:b/>
          <w:sz w:val="28"/>
          <w:u w:val="single"/>
        </w:rPr>
        <w:t xml:space="preserve">Objetivo 5. </w:t>
      </w:r>
    </w:p>
    <w:p w:rsidR="00F87902" w:rsidRDefault="00A519F9">
      <w:pPr>
        <w:jc w:val="both"/>
        <w:rPr>
          <w:rFonts w:ascii="Arial" w:hAnsi="Arial" w:cs="Arial"/>
        </w:rPr>
      </w:pPr>
      <w:r>
        <w:rPr>
          <w:rFonts w:ascii="Arial" w:hAnsi="Arial" w:cs="Arial"/>
        </w:rPr>
        <w:t>Desarrollar procesos de gestión y de evaluación, de calidad, oportunos y pertinentes,  que propicien el desarrollo del quehacer sustantivo de la Universidad.</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5.1.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31 actividades</w:t>
      </w:r>
      <w:r>
        <w:rPr>
          <w:rFonts w:ascii="Arial" w:hAnsi="Arial" w:cs="Arial"/>
        </w:rPr>
        <w:t xml:space="preserve"> de autoevaluación para el mejoramiento, la acreditación y la  reacreditación.     </w:t>
      </w:r>
    </w:p>
    <w:p w:rsidR="00F87902" w:rsidRDefault="00F87902">
      <w:pPr>
        <w:spacing w:line="360" w:lineRule="auto"/>
        <w:ind w:left="708"/>
        <w:jc w:val="both"/>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 xml:space="preserve">Se realizaron aproximadamente 56 actividades de esta naturaleza: acompañamiento a procesos de autoevaluación para la acreditación de carreras de grado y posgrado; seguimiento a unidades académicas con valoración del desempeño docente en categorías bajas; actividades de capacitación y formación para fortalecer los procesos de mejoramiento de las carreras en temas relacionados con el diseño curricular, la evaluación, la autoevaluación o la acreditación de carreras; talleres en asesoría sobre solicitudes de planes de estudio de grado o posgrado; actividades de apoyo al seguimiento de las personas graduadas de las carreras acreditadas; etc. que muestran un cumplimiento del </w:t>
      </w:r>
      <w:r>
        <w:rPr>
          <w:rFonts w:ascii="Arial" w:hAnsi="Arial" w:cs="Arial"/>
          <w:b/>
        </w:rPr>
        <w:t>100%</w:t>
      </w:r>
      <w:r>
        <w:rPr>
          <w:rFonts w:ascii="Arial" w:hAnsi="Arial" w:cs="Arial"/>
        </w:rPr>
        <w:t xml:space="preserve">. </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93,3 %</w:t>
      </w:r>
    </w:p>
    <w:p w:rsidR="00F87902" w:rsidRDefault="00F87902">
      <w:pPr>
        <w:ind w:left="708"/>
        <w:jc w:val="both"/>
        <w:rPr>
          <w:b/>
          <w:sz w:val="28"/>
        </w:rPr>
      </w:pPr>
    </w:p>
    <w:p w:rsidR="00F87902" w:rsidRDefault="00F87902">
      <w:pPr>
        <w:ind w:left="720"/>
        <w:jc w:val="both"/>
        <w:rPr>
          <w:b/>
          <w:sz w:val="28"/>
          <w:u w:val="single"/>
        </w:rPr>
      </w:pPr>
    </w:p>
    <w:p w:rsidR="00F87902" w:rsidRDefault="00A519F9">
      <w:pPr>
        <w:ind w:left="720"/>
        <w:jc w:val="both"/>
        <w:rPr>
          <w:b/>
          <w:sz w:val="28"/>
          <w:u w:val="single"/>
        </w:rPr>
      </w:pPr>
      <w:r>
        <w:br w:type="page"/>
      </w:r>
    </w:p>
    <w:p w:rsidR="00F87902" w:rsidRDefault="00A519F9">
      <w:pPr>
        <w:ind w:left="720"/>
        <w:jc w:val="both"/>
      </w:pPr>
      <w:r>
        <w:rPr>
          <w:b/>
          <w:sz w:val="28"/>
          <w:u w:val="single"/>
        </w:rPr>
        <w:lastRenderedPageBreak/>
        <w:t xml:space="preserve">Meta 5.2. </w:t>
      </w:r>
    </w:p>
    <w:p w:rsidR="00F87902" w:rsidRDefault="00A519F9">
      <w:pPr>
        <w:ind w:left="720"/>
        <w:jc w:val="both"/>
        <w:rPr>
          <w:rFonts w:ascii="Arial" w:hAnsi="Arial" w:cs="Arial"/>
        </w:rPr>
      </w:pPr>
      <w:r>
        <w:rPr>
          <w:rFonts w:ascii="Arial" w:hAnsi="Arial" w:cs="Arial"/>
        </w:rPr>
        <w:t xml:space="preserve">Atender el </w:t>
      </w:r>
      <w:r>
        <w:rPr>
          <w:rFonts w:ascii="Arial" w:hAnsi="Arial" w:cs="Arial"/>
          <w:b/>
        </w:rPr>
        <w:t>100%</w:t>
      </w:r>
      <w:r>
        <w:rPr>
          <w:rFonts w:ascii="Arial" w:hAnsi="Arial" w:cs="Arial"/>
        </w:rPr>
        <w:t xml:space="preserve"> de actividades de gestión de apoyo al quehacer académico.</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Se atendieron en muy buena medida (</w:t>
      </w:r>
      <w:r>
        <w:rPr>
          <w:rFonts w:ascii="Arial" w:hAnsi="Arial" w:cs="Arial"/>
          <w:b/>
        </w:rPr>
        <w:t>100%</w:t>
      </w:r>
      <w:r>
        <w:rPr>
          <w:rFonts w:ascii="Arial" w:hAnsi="Arial" w:cs="Arial"/>
        </w:rPr>
        <w:t xml:space="preserve"> de cumplimiento), mediante el desarrollo de talleres de capacitación para utilizar herramientas tecnológicas en el ámbito académico; personas matriculadas en el aprendizaje del idioma inglés; planes de fortalecimiento y estabilidad laboral del sector académico elaborados y aprobados; implementación de la estrategia institucional para el desarrollo regional; apoyo a actividades como foros, mesas redondas, congresos; ppaa desarrollados, gestión de recursos bibliográficos y tecnológicos, etc.</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80,9 %</w:t>
      </w:r>
    </w:p>
    <w:p w:rsidR="00F87902" w:rsidRDefault="00F87902">
      <w:pPr>
        <w:ind w:left="720"/>
        <w:jc w:val="both"/>
        <w:rPr>
          <w:b/>
          <w:sz w:val="28"/>
          <w:u w:val="single"/>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5.3. </w:t>
      </w:r>
    </w:p>
    <w:p w:rsidR="00F87902" w:rsidRDefault="00A519F9">
      <w:pPr>
        <w:ind w:left="708"/>
        <w:contextualSpacing/>
        <w:jc w:val="both"/>
        <w:rPr>
          <w:rFonts w:ascii="Arial" w:hAnsi="Arial" w:cs="Arial"/>
        </w:rPr>
      </w:pPr>
      <w:r>
        <w:rPr>
          <w:rFonts w:ascii="Arial" w:hAnsi="Arial" w:cs="Arial"/>
        </w:rPr>
        <w:t xml:space="preserve">Iniciar la ejecución de </w:t>
      </w:r>
      <w:r>
        <w:rPr>
          <w:rFonts w:ascii="Arial" w:hAnsi="Arial" w:cs="Arial"/>
          <w:b/>
        </w:rPr>
        <w:t>8 actividades</w:t>
      </w:r>
      <w:r>
        <w:rPr>
          <w:rFonts w:ascii="Arial" w:hAnsi="Arial" w:cs="Arial"/>
        </w:rPr>
        <w:t xml:space="preserve"> de desarrollo y mantenimiento de la infraestructura institucional dedicada a las actividades académicas.</w:t>
      </w:r>
    </w:p>
    <w:p w:rsidR="00F87902" w:rsidRDefault="00F87902">
      <w:pPr>
        <w:ind w:left="708"/>
        <w:jc w:val="both"/>
        <w:rPr>
          <w:b/>
          <w:bCs/>
          <w:sz w:val="28"/>
          <w:szCs w:val="28"/>
        </w:rPr>
      </w:pPr>
    </w:p>
    <w:p w:rsidR="00F87902" w:rsidRDefault="00A519F9">
      <w:pPr>
        <w:ind w:left="720"/>
        <w:jc w:val="both"/>
        <w:rPr>
          <w:b/>
          <w:sz w:val="28"/>
        </w:rPr>
      </w:pPr>
      <w:r>
        <w:rPr>
          <w:b/>
          <w:sz w:val="28"/>
          <w:u w:val="single"/>
        </w:rPr>
        <w:t xml:space="preserve">Síntesis de resultados.      </w:t>
      </w:r>
    </w:p>
    <w:p w:rsidR="00F87902" w:rsidRDefault="00F87902">
      <w:pPr>
        <w:ind w:left="720"/>
        <w:jc w:val="both"/>
        <w:rPr>
          <w:b/>
          <w:sz w:val="28"/>
          <w:u w:val="single"/>
        </w:rPr>
      </w:pPr>
    </w:p>
    <w:p w:rsidR="00F87902" w:rsidRDefault="00A519F9">
      <w:pPr>
        <w:ind w:left="708"/>
        <w:jc w:val="both"/>
        <w:rPr>
          <w:rFonts w:ascii="Arial" w:hAnsi="Arial" w:cs="Arial"/>
          <w:sz w:val="22"/>
          <w:szCs w:val="22"/>
        </w:rPr>
      </w:pPr>
      <w:r>
        <w:rPr>
          <w:rFonts w:ascii="Arial" w:hAnsi="Arial" w:cs="Arial"/>
          <w:sz w:val="22"/>
          <w:szCs w:val="22"/>
        </w:rPr>
        <w:t xml:space="preserve">El cumplimiento de esta meta se estima en un </w:t>
      </w:r>
      <w:r>
        <w:rPr>
          <w:rFonts w:ascii="Arial" w:hAnsi="Arial" w:cs="Arial"/>
          <w:b/>
          <w:sz w:val="22"/>
          <w:szCs w:val="22"/>
        </w:rPr>
        <w:t>100%</w:t>
      </w:r>
      <w:r>
        <w:rPr>
          <w:rFonts w:ascii="Arial" w:hAnsi="Arial" w:cs="Arial"/>
          <w:sz w:val="22"/>
          <w:szCs w:val="22"/>
        </w:rPr>
        <w:t>, al haberse dado inicio a 9 actividades de desarrollo y mantenimiento. Si bien es cierto la ejecución presupuestaria es baja, si los compromisos se incluyeran el porcentaje alcanzaría un 89%. Para el 2015 únicamente se tenía proyectado iniciar la ejecución de recursos y la mayoría sería ejecutada en el 2016.</w:t>
      </w:r>
    </w:p>
    <w:p w:rsidR="00F87902" w:rsidRDefault="00F87902">
      <w:pPr>
        <w:ind w:left="708"/>
        <w:jc w:val="both"/>
        <w:rPr>
          <w:rFonts w:ascii="Arial" w:hAnsi="Arial" w:cs="Arial"/>
        </w:rPr>
      </w:pPr>
    </w:p>
    <w:p w:rsidR="00F87902" w:rsidRDefault="00A519F9">
      <w:pPr>
        <w:ind w:left="708"/>
        <w:jc w:val="both"/>
        <w:rPr>
          <w:b/>
          <w:bCs/>
          <w:i/>
          <w:sz w:val="28"/>
          <w:szCs w:val="28"/>
        </w:rPr>
      </w:pPr>
      <w:r>
        <w:rPr>
          <w:b/>
          <w:sz w:val="28"/>
          <w:u w:val="single"/>
        </w:rPr>
        <w:t>Ejecución presupuestaria.</w:t>
      </w:r>
      <w:r>
        <w:rPr>
          <w:b/>
          <w:bCs/>
          <w:i/>
          <w:sz w:val="28"/>
          <w:szCs w:val="28"/>
        </w:rPr>
        <w:t>24,4%</w:t>
      </w:r>
    </w:p>
    <w:p w:rsidR="00F87902" w:rsidRDefault="00F87902">
      <w:pPr>
        <w:ind w:left="708"/>
        <w:jc w:val="both"/>
        <w:rPr>
          <w:b/>
          <w:bCs/>
          <w:sz w:val="28"/>
          <w:szCs w:val="28"/>
        </w:rPr>
      </w:pPr>
    </w:p>
    <w:p w:rsidR="00F87902" w:rsidRDefault="00A519F9">
      <w:pPr>
        <w:ind w:left="1068"/>
        <w:jc w:val="both"/>
        <w:rPr>
          <w:rFonts w:ascii="Arial" w:hAnsi="Arial" w:cs="Arial"/>
          <w:i/>
          <w:sz w:val="22"/>
          <w:szCs w:val="22"/>
        </w:rPr>
      </w:pPr>
      <w:r>
        <w:rPr>
          <w:rFonts w:ascii="Arial" w:hAnsi="Arial" w:cs="Arial"/>
          <w:i/>
          <w:sz w:val="22"/>
          <w:szCs w:val="22"/>
        </w:rPr>
        <w:t>La baja ejecución en la meta se debe a los procesos de licitación de obras de infraestructura, que por lo general superan el año de ejecución, y crean compromisos que serán ejecutados en el año siguiente. De hecho, si en esta meta se suman los recursos comprometidos, la ejecución sube a un 89,1%.</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 los cronogramas de ejecución de las obras para propiciar su oportuno desarrollo.</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i/>
          <w:sz w:val="22"/>
          <w:szCs w:val="22"/>
        </w:rPr>
      </w:pPr>
      <w:r>
        <w:rPr>
          <w:rFonts w:ascii="Arial" w:hAnsi="Arial" w:cs="Arial"/>
        </w:rPr>
        <w:t>Vicerrectoría de Administración (</w:t>
      </w:r>
      <w:r>
        <w:rPr>
          <w:rFonts w:ascii="Arial" w:hAnsi="Arial" w:cs="Arial"/>
          <w:i/>
        </w:rPr>
        <w:t>Prodemi</w:t>
      </w:r>
      <w:r>
        <w:rPr>
          <w:rFonts w:ascii="Arial" w:hAnsi="Arial" w:cs="Arial"/>
        </w:rPr>
        <w:t>, Proveeduría Institucional) Rectoría.</w:t>
      </w:r>
    </w:p>
    <w:p w:rsidR="00F87902" w:rsidRDefault="00F87902">
      <w:pPr>
        <w:ind w:left="708"/>
        <w:jc w:val="both"/>
        <w:rPr>
          <w:b/>
          <w:sz w:val="28"/>
        </w:rPr>
      </w:pPr>
    </w:p>
    <w:p w:rsidR="00F87902" w:rsidRDefault="00F87902">
      <w:pPr>
        <w:jc w:val="both"/>
        <w:rPr>
          <w:b/>
          <w:sz w:val="28"/>
          <w:szCs w:val="28"/>
        </w:rPr>
      </w:pPr>
    </w:p>
    <w:p w:rsidR="00F87902" w:rsidRDefault="00A519F9">
      <w:pPr>
        <w:jc w:val="both"/>
        <w:rPr>
          <w:b/>
          <w:sz w:val="28"/>
          <w:szCs w:val="28"/>
        </w:rPr>
      </w:pPr>
      <w:r>
        <w:br w:type="page"/>
      </w:r>
    </w:p>
    <w:p w:rsidR="00F87902" w:rsidRDefault="00A519F9">
      <w:pPr>
        <w:jc w:val="both"/>
      </w:pPr>
      <w:r>
        <w:rPr>
          <w:b/>
          <w:sz w:val="28"/>
          <w:szCs w:val="28"/>
        </w:rPr>
        <w:lastRenderedPageBreak/>
        <w:t>PROGRAMA VIDA UNIVERSITARIA.</w:t>
      </w:r>
    </w:p>
    <w:p w:rsidR="00F87902" w:rsidRDefault="00F87902">
      <w:pPr>
        <w:jc w:val="both"/>
        <w:rPr>
          <w:b/>
          <w:sz w:val="28"/>
          <w:u w:val="single"/>
        </w:rPr>
      </w:pPr>
    </w:p>
    <w:p w:rsidR="00F87902" w:rsidRDefault="00A519F9">
      <w:pPr>
        <w:jc w:val="both"/>
        <w:rPr>
          <w:b/>
          <w:sz w:val="28"/>
          <w:u w:val="single"/>
        </w:rPr>
      </w:pPr>
      <w:r>
        <w:rPr>
          <w:b/>
          <w:sz w:val="28"/>
          <w:u w:val="single"/>
        </w:rPr>
        <w:t xml:space="preserve">Objetivo 1. </w:t>
      </w:r>
    </w:p>
    <w:p w:rsidR="00F87902" w:rsidRDefault="00A519F9">
      <w:pPr>
        <w:jc w:val="both"/>
        <w:rPr>
          <w:rFonts w:ascii="Arial" w:hAnsi="Arial" w:cs="Arial"/>
        </w:rPr>
      </w:pPr>
      <w:r>
        <w:rPr>
          <w:rFonts w:ascii="Arial" w:hAnsi="Arial" w:cs="Arial"/>
        </w:rPr>
        <w:t xml:space="preserve">Brindar a la población estudiantil universitaria servicios de apoyo que le permitan mejorar su calidad de vida; mediante una gestión eficiente de procesos, asignación de becas y otros beneficios referidos a la vida universitaria, con particular atención a los estudiantes en desventaja social. </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1.1. </w:t>
      </w:r>
    </w:p>
    <w:p w:rsidR="00F87902" w:rsidRDefault="00A519F9">
      <w:pPr>
        <w:ind w:left="720"/>
        <w:jc w:val="both"/>
        <w:rPr>
          <w:rFonts w:ascii="Arial" w:hAnsi="Arial" w:cs="Arial"/>
        </w:rPr>
      </w:pPr>
      <w:r>
        <w:rPr>
          <w:rFonts w:ascii="Arial" w:hAnsi="Arial" w:cs="Arial"/>
        </w:rPr>
        <w:t xml:space="preserve">Otorgar </w:t>
      </w:r>
      <w:r>
        <w:rPr>
          <w:rFonts w:ascii="Arial" w:hAnsi="Arial" w:cs="Arial"/>
          <w:b/>
        </w:rPr>
        <w:t>7.458</w:t>
      </w:r>
      <w:r>
        <w:rPr>
          <w:rFonts w:ascii="Arial" w:hAnsi="Arial" w:cs="Arial"/>
        </w:rPr>
        <w:t xml:space="preserve"> becas de diferente categoría: </w:t>
      </w:r>
      <w:r>
        <w:rPr>
          <w:rFonts w:ascii="Arial" w:hAnsi="Arial" w:cs="Arial"/>
          <w:b/>
        </w:rPr>
        <w:t>5.383</w:t>
      </w:r>
      <w:r>
        <w:rPr>
          <w:rFonts w:ascii="Arial" w:hAnsi="Arial" w:cs="Arial"/>
        </w:rPr>
        <w:t xml:space="preserve"> por condición socioeconómica, </w:t>
      </w:r>
      <w:r>
        <w:rPr>
          <w:rFonts w:ascii="Arial" w:hAnsi="Arial" w:cs="Arial"/>
          <w:b/>
        </w:rPr>
        <w:t>800</w:t>
      </w:r>
      <w:r>
        <w:rPr>
          <w:rFonts w:ascii="Arial" w:hAnsi="Arial" w:cs="Arial"/>
        </w:rPr>
        <w:t xml:space="preserve"> por participación relevante, </w:t>
      </w:r>
      <w:r>
        <w:rPr>
          <w:rFonts w:ascii="Arial" w:hAnsi="Arial" w:cs="Arial"/>
          <w:b/>
        </w:rPr>
        <w:t>1.275</w:t>
      </w:r>
      <w:r>
        <w:rPr>
          <w:rFonts w:ascii="Arial" w:hAnsi="Arial" w:cs="Arial"/>
        </w:rPr>
        <w:t xml:space="preserve"> por rendimiento académico; así como asignar </w:t>
      </w:r>
      <w:r>
        <w:rPr>
          <w:rFonts w:ascii="Arial" w:hAnsi="Arial" w:cs="Arial"/>
          <w:b/>
        </w:rPr>
        <w:t>1.390</w:t>
      </w:r>
      <w:r>
        <w:rPr>
          <w:rFonts w:ascii="Arial" w:hAnsi="Arial" w:cs="Arial"/>
        </w:rPr>
        <w:t xml:space="preserve"> ayudas (especiales, giras y movilidad estudiantil) y realizar </w:t>
      </w:r>
      <w:r>
        <w:rPr>
          <w:rFonts w:ascii="Arial" w:hAnsi="Arial" w:cs="Arial"/>
          <w:b/>
        </w:rPr>
        <w:t>3.515</w:t>
      </w:r>
      <w:r>
        <w:rPr>
          <w:rFonts w:ascii="Arial" w:hAnsi="Arial" w:cs="Arial"/>
        </w:rPr>
        <w:t xml:space="preserve"> actividades de valoración psicosociales y de promoción de la salud.</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F87902">
      <w:pPr>
        <w:pStyle w:val="Prrafodelista"/>
        <w:rPr>
          <w:rFonts w:ascii="Arial" w:hAnsi="Arial" w:cs="Arial"/>
          <w:sz w:val="22"/>
          <w:szCs w:val="22"/>
        </w:rPr>
      </w:pPr>
    </w:p>
    <w:p w:rsidR="00F87902" w:rsidRDefault="00A519F9">
      <w:pPr>
        <w:ind w:left="708"/>
        <w:jc w:val="both"/>
        <w:rPr>
          <w:rFonts w:ascii="Arial" w:hAnsi="Arial" w:cs="Arial"/>
        </w:rPr>
      </w:pPr>
      <w:r>
        <w:rPr>
          <w:rFonts w:ascii="Arial" w:hAnsi="Arial" w:cs="Arial"/>
        </w:rPr>
        <w:t xml:space="preserve">Se adjudicaron 7.341 becas por condición socioeconómica, 447 por participación relevante, 617 por rendimiento académico. Asimismo, se asignaron 3.561 ayudas (especiales, giras y movilidad estudiantil) y se realizaron 6.012 actividades de valoración psicosocial y de promoción de la salud. De lo anterior (17.978 ayudas) se tiene un cumplimiento del </w:t>
      </w:r>
      <w:r>
        <w:rPr>
          <w:rFonts w:ascii="Arial" w:hAnsi="Arial" w:cs="Arial"/>
          <w:b/>
        </w:rPr>
        <w:t>100%</w:t>
      </w:r>
      <w:r>
        <w:rPr>
          <w:rFonts w:ascii="Arial" w:hAnsi="Arial" w:cs="Arial"/>
        </w:rPr>
        <w:t>.</w:t>
      </w:r>
    </w:p>
    <w:p w:rsidR="00F87902" w:rsidRDefault="00F87902">
      <w:pPr>
        <w:ind w:left="1080"/>
        <w:jc w:val="both"/>
        <w:rPr>
          <w:rFonts w:ascii="Arial" w:hAnsi="Arial" w:cs="Arial"/>
          <w:sz w:val="22"/>
          <w:szCs w:val="22"/>
        </w:rPr>
      </w:pPr>
    </w:p>
    <w:p w:rsidR="00F87902" w:rsidRDefault="00A519F9">
      <w:pPr>
        <w:ind w:left="708"/>
        <w:jc w:val="both"/>
        <w:rPr>
          <w:b/>
          <w:bCs/>
          <w:sz w:val="28"/>
          <w:szCs w:val="28"/>
        </w:rPr>
      </w:pPr>
      <w:r>
        <w:rPr>
          <w:b/>
          <w:sz w:val="28"/>
          <w:u w:val="single"/>
        </w:rPr>
        <w:t>Ejecución presupuestaria.</w:t>
      </w:r>
      <w:r>
        <w:rPr>
          <w:b/>
          <w:bCs/>
          <w:i/>
          <w:sz w:val="28"/>
          <w:szCs w:val="28"/>
        </w:rPr>
        <w:t>91,9 %</w:t>
      </w:r>
    </w:p>
    <w:p w:rsidR="00F87902" w:rsidRDefault="00F87902">
      <w:pPr>
        <w:ind w:left="708"/>
        <w:jc w:val="both"/>
        <w:rPr>
          <w:b/>
          <w:sz w:val="28"/>
        </w:rPr>
      </w:pPr>
    </w:p>
    <w:p w:rsidR="00F87902" w:rsidRDefault="00F87902">
      <w:pPr>
        <w:ind w:left="708"/>
        <w:jc w:val="both"/>
        <w:rPr>
          <w:b/>
          <w:sz w:val="28"/>
        </w:rPr>
      </w:pPr>
    </w:p>
    <w:p w:rsidR="00F87902" w:rsidRDefault="00A519F9">
      <w:pPr>
        <w:ind w:left="720"/>
        <w:jc w:val="both"/>
        <w:rPr>
          <w:b/>
          <w:sz w:val="28"/>
          <w:u w:val="single"/>
        </w:rPr>
      </w:pPr>
      <w:r>
        <w:rPr>
          <w:b/>
          <w:sz w:val="28"/>
          <w:u w:val="single"/>
        </w:rPr>
        <w:t xml:space="preserve">Meta 1.2. </w:t>
      </w:r>
    </w:p>
    <w:p w:rsidR="00F87902" w:rsidRDefault="00A519F9">
      <w:pPr>
        <w:ind w:left="720"/>
        <w:jc w:val="both"/>
        <w:rPr>
          <w:rFonts w:ascii="Arial" w:hAnsi="Arial" w:cs="Arial"/>
        </w:rPr>
      </w:pPr>
      <w:r>
        <w:rPr>
          <w:rFonts w:ascii="Arial" w:hAnsi="Arial" w:cs="Arial"/>
        </w:rPr>
        <w:t xml:space="preserve">Realizar </w:t>
      </w:r>
      <w:r>
        <w:rPr>
          <w:rFonts w:ascii="Arial" w:hAnsi="Arial" w:cs="Arial"/>
          <w:b/>
        </w:rPr>
        <w:t>2.800</w:t>
      </w:r>
      <w:r>
        <w:rPr>
          <w:rFonts w:ascii="Arial" w:hAnsi="Arial" w:cs="Arial"/>
        </w:rPr>
        <w:t xml:space="preserve"> sesiones de orientación y asesoría a estudiantes según requerimientos (incluye 1.600 psicológicas, 800 del servicio de psicopedagogía, 300 en servicios de orientación individual, 100 en asesoramiento vocacional), y atender a </w:t>
      </w:r>
      <w:r>
        <w:rPr>
          <w:rFonts w:ascii="Arial" w:hAnsi="Arial" w:cs="Arial"/>
          <w:b/>
        </w:rPr>
        <w:t>4.900</w:t>
      </w:r>
      <w:r>
        <w:rPr>
          <w:rFonts w:ascii="Arial" w:hAnsi="Arial" w:cs="Arial"/>
        </w:rPr>
        <w:t xml:space="preserve"> estudiantes (200 con necesidades educativas asociadas o no con discapacidad, brindar inducción a 700 estudiantes de primer ingreso y recibir 4.000 estudiantes de colegios en la actividad Puertas Abiertas).</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sz w:val="22"/>
          <w:szCs w:val="22"/>
        </w:rPr>
      </w:pPr>
      <w:r>
        <w:rPr>
          <w:rFonts w:ascii="Arial" w:hAnsi="Arial" w:cs="Arial"/>
        </w:rPr>
        <w:t xml:space="preserve">El cumplimiento se ha estimado en un </w:t>
      </w:r>
      <w:r>
        <w:rPr>
          <w:rFonts w:ascii="Arial" w:hAnsi="Arial" w:cs="Arial"/>
          <w:b/>
        </w:rPr>
        <w:t>100%</w:t>
      </w:r>
      <w:r>
        <w:rPr>
          <w:rFonts w:ascii="Arial" w:hAnsi="Arial" w:cs="Arial"/>
        </w:rPr>
        <w:t xml:space="preserve">,  en razón de 11.530 actividades realizadas: 3.195 sesiones de orientación psicológica, 1.968 de psicopedagogía, 337 servicios de orientación individual; además, 241 estudiantes con necesidades educativas particulares atendidos, 4.464 estudiantes de colegios en la actividad Puertas Abiertas, 183 en asesoramiento vocacional y 1.142 en inducción a la vida universitaria para estudiantes de primer ingreso. </w:t>
      </w:r>
    </w:p>
    <w:p w:rsidR="00F87902" w:rsidRDefault="00F87902">
      <w:pPr>
        <w:ind w:left="720"/>
        <w:jc w:val="both"/>
        <w:rPr>
          <w:rFonts w:ascii="Arial" w:hAnsi="Arial" w:cs="Arial"/>
          <w:sz w:val="22"/>
          <w:szCs w:val="22"/>
        </w:rPr>
      </w:pPr>
    </w:p>
    <w:p w:rsidR="00F87902" w:rsidRDefault="00A519F9">
      <w:pPr>
        <w:ind w:left="708"/>
        <w:jc w:val="both"/>
        <w:rPr>
          <w:b/>
          <w:bCs/>
          <w:sz w:val="28"/>
          <w:szCs w:val="28"/>
        </w:rPr>
      </w:pPr>
      <w:r>
        <w:rPr>
          <w:b/>
          <w:sz w:val="28"/>
          <w:u w:val="single"/>
        </w:rPr>
        <w:t>Ejecución presupuestaria.</w:t>
      </w:r>
      <w:r>
        <w:rPr>
          <w:b/>
          <w:bCs/>
          <w:i/>
          <w:sz w:val="28"/>
          <w:szCs w:val="28"/>
        </w:rPr>
        <w:t>93,5 %</w:t>
      </w:r>
    </w:p>
    <w:p w:rsidR="00F87902" w:rsidRDefault="00F87902">
      <w:pPr>
        <w:ind w:left="1417" w:hanging="709"/>
        <w:jc w:val="both"/>
        <w:rPr>
          <w:rFonts w:ascii="Arial" w:hAnsi="Arial" w:cs="Arial"/>
          <w:i/>
          <w:sz w:val="22"/>
          <w:szCs w:val="22"/>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lastRenderedPageBreak/>
        <w:t xml:space="preserve">Meta 1.3. </w:t>
      </w:r>
    </w:p>
    <w:p w:rsidR="00F87902" w:rsidRDefault="00A519F9">
      <w:pPr>
        <w:ind w:left="720"/>
        <w:jc w:val="both"/>
        <w:rPr>
          <w:rFonts w:ascii="Arial" w:hAnsi="Arial" w:cs="Arial"/>
        </w:rPr>
      </w:pPr>
      <w:r>
        <w:rPr>
          <w:rFonts w:ascii="Arial" w:hAnsi="Arial" w:cs="Arial"/>
        </w:rPr>
        <w:t xml:space="preserve">Desarrollar </w:t>
      </w:r>
      <w:r>
        <w:rPr>
          <w:rFonts w:ascii="Arial" w:hAnsi="Arial" w:cs="Arial"/>
          <w:b/>
        </w:rPr>
        <w:t>2.336</w:t>
      </w:r>
      <w:r>
        <w:rPr>
          <w:rFonts w:ascii="Arial" w:hAnsi="Arial" w:cs="Arial"/>
        </w:rPr>
        <w:t xml:space="preserve"> actividades deportivas, artísticas y recreativas (incluye 1600 certificaciones de naturaleza cocurricular y 736 acciones) que propicien una vida universitaria integral.</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pPr>
      <w:r>
        <w:rPr>
          <w:rFonts w:ascii="Arial" w:hAnsi="Arial" w:cs="Arial"/>
        </w:rPr>
        <w:t xml:space="preserve">El cumplimiento se ha estimado en un </w:t>
      </w:r>
      <w:r>
        <w:rPr>
          <w:rFonts w:ascii="Arial" w:hAnsi="Arial" w:cs="Arial"/>
          <w:b/>
        </w:rPr>
        <w:t>93%</w:t>
      </w:r>
      <w:r>
        <w:rPr>
          <w:rFonts w:ascii="Arial" w:hAnsi="Arial" w:cs="Arial"/>
        </w:rPr>
        <w:t xml:space="preserve">, como resultado de las 2.172 actividades realizadas.   </w:t>
      </w:r>
    </w:p>
    <w:p w:rsidR="00F87902" w:rsidRDefault="00F87902">
      <w:pPr>
        <w:ind w:left="720"/>
        <w:jc w:val="both"/>
        <w:rPr>
          <w:rFonts w:ascii="Arial" w:hAnsi="Arial" w:cs="Arial"/>
          <w:color w:val="FF0000"/>
          <w:sz w:val="22"/>
          <w:szCs w:val="22"/>
        </w:rPr>
      </w:pPr>
    </w:p>
    <w:p w:rsidR="00F87902" w:rsidRDefault="00A519F9">
      <w:pPr>
        <w:ind w:left="708"/>
        <w:jc w:val="both"/>
        <w:rPr>
          <w:b/>
          <w:bCs/>
          <w:sz w:val="28"/>
          <w:szCs w:val="28"/>
          <w:lang w:val="es-CR" w:eastAsia="es-CR"/>
        </w:rPr>
      </w:pPr>
      <w:r>
        <w:rPr>
          <w:b/>
          <w:sz w:val="28"/>
          <w:u w:val="single"/>
        </w:rPr>
        <w:t>Ejecución presupuestaria.</w:t>
      </w:r>
      <w:r>
        <w:rPr>
          <w:b/>
          <w:bCs/>
          <w:i/>
          <w:sz w:val="28"/>
          <w:szCs w:val="28"/>
        </w:rPr>
        <w:t>94,1 %</w:t>
      </w:r>
    </w:p>
    <w:p w:rsidR="00F87902" w:rsidRDefault="00F87902">
      <w:pPr>
        <w:ind w:left="720"/>
        <w:jc w:val="both"/>
        <w:rPr>
          <w:rFonts w:ascii="Arial" w:hAnsi="Arial" w:cs="Arial"/>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1.4. </w:t>
      </w:r>
    </w:p>
    <w:p w:rsidR="00F87902" w:rsidRDefault="00A519F9">
      <w:pPr>
        <w:ind w:left="720"/>
        <w:jc w:val="both"/>
        <w:rPr>
          <w:rFonts w:ascii="Arial" w:hAnsi="Arial" w:cs="Arial"/>
        </w:rPr>
      </w:pPr>
      <w:r>
        <w:rPr>
          <w:rFonts w:ascii="Arial" w:hAnsi="Arial" w:cs="Arial"/>
        </w:rPr>
        <w:t xml:space="preserve">Desarrollar </w:t>
      </w:r>
      <w:r>
        <w:rPr>
          <w:rFonts w:ascii="Arial" w:hAnsi="Arial" w:cs="Arial"/>
          <w:b/>
        </w:rPr>
        <w:t>15</w:t>
      </w:r>
      <w:r>
        <w:rPr>
          <w:rFonts w:ascii="Arial" w:hAnsi="Arial" w:cs="Arial"/>
        </w:rPr>
        <w:t xml:space="preserve"> programas-proyectos, comisiones y coordinaciones, por parte de la Dirección Superior de la Vicerrectoría de Vida Estudiantil y de la Rectoría, que fortalezcan el desarrollo de la vida universitaria.</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pPr>
      <w:r>
        <w:rPr>
          <w:rFonts w:ascii="Arial" w:hAnsi="Arial" w:cs="Arial"/>
        </w:rPr>
        <w:t xml:space="preserve">El cumplimiento se estima en un </w:t>
      </w:r>
      <w:r w:rsidRPr="009B69F5">
        <w:rPr>
          <w:rFonts w:ascii="Arial" w:hAnsi="Arial" w:cs="Arial"/>
          <w:b/>
        </w:rPr>
        <w:t>80%</w:t>
      </w:r>
      <w:r>
        <w:rPr>
          <w:rFonts w:ascii="Arial" w:hAnsi="Arial" w:cs="Arial"/>
        </w:rPr>
        <w:t xml:space="preserve">, al observar logros en al menos 12 de los proyectos propuestos en la meta tales como: </w:t>
      </w:r>
      <w:r>
        <w:rPr>
          <w:rFonts w:ascii="Arial" w:hAnsi="Arial" w:cs="Arial"/>
          <w:i/>
        </w:rPr>
        <w:t>Cimad, Sisauna, Cieuna</w:t>
      </w:r>
      <w:r>
        <w:rPr>
          <w:rFonts w:ascii="Arial" w:hAnsi="Arial" w:cs="Arial"/>
        </w:rPr>
        <w:t xml:space="preserve">, </w:t>
      </w:r>
      <w:r>
        <w:rPr>
          <w:rFonts w:ascii="Arial" w:hAnsi="Arial" w:cs="Arial"/>
          <w:i/>
        </w:rPr>
        <w:t>UNA Voluntariado</w:t>
      </w:r>
      <w:r>
        <w:rPr>
          <w:rFonts w:ascii="Arial" w:hAnsi="Arial" w:cs="Arial"/>
        </w:rPr>
        <w:t xml:space="preserve">, UNA-IAFA, UNA-Alma máter, </w:t>
      </w:r>
      <w:r>
        <w:rPr>
          <w:rFonts w:ascii="Arial" w:hAnsi="Arial" w:cs="Arial"/>
          <w:i/>
        </w:rPr>
        <w:t>Noches de Gala</w:t>
      </w:r>
      <w:r>
        <w:rPr>
          <w:rFonts w:ascii="Arial" w:hAnsi="Arial" w:cs="Arial"/>
        </w:rPr>
        <w:t>, Comisión de Ética,  Festival Universitario Regional, acto de Estudiante Distinguido, participación en jornadas de voluntariado de las universidades públicas, Convenio BNCR.</w:t>
      </w:r>
    </w:p>
    <w:p w:rsidR="00F87902" w:rsidRDefault="00F87902">
      <w:pPr>
        <w:ind w:left="720"/>
        <w:jc w:val="both"/>
        <w:rPr>
          <w:rFonts w:ascii="Arial" w:hAnsi="Arial" w:cs="Arial"/>
          <w:sz w:val="22"/>
          <w:szCs w:val="22"/>
        </w:rPr>
      </w:pPr>
    </w:p>
    <w:p w:rsidR="00F87902" w:rsidRDefault="00A519F9">
      <w:pPr>
        <w:ind w:left="708"/>
        <w:jc w:val="both"/>
        <w:rPr>
          <w:b/>
          <w:bCs/>
          <w:sz w:val="28"/>
          <w:szCs w:val="28"/>
        </w:rPr>
      </w:pPr>
      <w:r>
        <w:rPr>
          <w:b/>
          <w:sz w:val="28"/>
          <w:u w:val="single"/>
        </w:rPr>
        <w:t>Ejecución presupuestaria.</w:t>
      </w:r>
      <w:r>
        <w:rPr>
          <w:b/>
          <w:bCs/>
          <w:i/>
          <w:sz w:val="28"/>
          <w:szCs w:val="28"/>
        </w:rPr>
        <w:t>66,9 %</w:t>
      </w:r>
    </w:p>
    <w:p w:rsidR="00F87902" w:rsidRDefault="00F87902">
      <w:pPr>
        <w:ind w:left="720"/>
        <w:jc w:val="both"/>
        <w:rPr>
          <w:rFonts w:ascii="Arial" w:hAnsi="Arial" w:cs="Arial"/>
        </w:rPr>
      </w:pPr>
    </w:p>
    <w:p w:rsidR="00F87902" w:rsidRDefault="00A519F9">
      <w:pPr>
        <w:ind w:left="1416"/>
        <w:jc w:val="both"/>
        <w:rPr>
          <w:rFonts w:ascii="Arial" w:hAnsi="Arial" w:cs="Arial"/>
          <w:i/>
          <w:sz w:val="22"/>
          <w:szCs w:val="22"/>
        </w:rPr>
      </w:pPr>
      <w:r>
        <w:rPr>
          <w:rFonts w:ascii="Arial" w:hAnsi="Arial" w:cs="Arial"/>
          <w:i/>
          <w:sz w:val="22"/>
          <w:szCs w:val="22"/>
        </w:rPr>
        <w:t>El porcentaje de ejecución en esta meta responde a la baja ejecución de recursos de  operación concentrados (alrededor de 300 millones de colones), así como a la existencia de compromisos presupuestarios de aproximadamente 80 millones de colones.</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 cada uno de los proyectos y actividades que se desarrollan en el ámbito de la gestión de la vida universitaria, así como a los recursos de operación e inversión concentrados, a fin de que los recursos asignados se ejecuten oportunamente.</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rPr>
        <w:t>Vicerrectoría de Vida Estudiantil, Vicerrectoría de Administración (Programa Gestión Financiera).</w:t>
      </w:r>
    </w:p>
    <w:p w:rsidR="00F87902" w:rsidRDefault="00F87902">
      <w:pPr>
        <w:jc w:val="both"/>
        <w:rPr>
          <w:b/>
          <w:sz w:val="28"/>
          <w:u w:val="single"/>
        </w:rPr>
      </w:pPr>
    </w:p>
    <w:p w:rsidR="00F87902" w:rsidRDefault="00F87902">
      <w:pPr>
        <w:jc w:val="both"/>
        <w:rPr>
          <w:b/>
          <w:sz w:val="28"/>
          <w:u w:val="single"/>
        </w:rPr>
      </w:pPr>
    </w:p>
    <w:p w:rsidR="00F87902" w:rsidRDefault="00A519F9">
      <w:pPr>
        <w:jc w:val="both"/>
        <w:rPr>
          <w:b/>
          <w:sz w:val="28"/>
          <w:u w:val="single"/>
        </w:rPr>
      </w:pPr>
      <w:r>
        <w:br w:type="page"/>
      </w:r>
    </w:p>
    <w:p w:rsidR="00F87902" w:rsidRDefault="00A519F9">
      <w:pPr>
        <w:jc w:val="both"/>
      </w:pPr>
      <w:r>
        <w:rPr>
          <w:b/>
          <w:sz w:val="28"/>
          <w:u w:val="single"/>
        </w:rPr>
        <w:lastRenderedPageBreak/>
        <w:t xml:space="preserve">Objetivo 2. </w:t>
      </w:r>
    </w:p>
    <w:p w:rsidR="00F87902" w:rsidRDefault="00A519F9">
      <w:pPr>
        <w:jc w:val="both"/>
        <w:rPr>
          <w:rFonts w:ascii="Arial" w:hAnsi="Arial" w:cs="Arial"/>
        </w:rPr>
      </w:pPr>
      <w:r>
        <w:rPr>
          <w:rFonts w:ascii="Arial" w:hAnsi="Arial" w:cs="Arial"/>
        </w:rPr>
        <w:t>Garantizar servicios de apoyo paraacadémico que coadyuven al desarrollo curricular exitoso de los estudiantes.</w:t>
      </w:r>
    </w:p>
    <w:p w:rsidR="00F87902" w:rsidRDefault="00F87902">
      <w:pPr>
        <w:jc w:val="both"/>
        <w:rPr>
          <w:rFonts w:ascii="Arial" w:hAnsi="Arial" w:cs="Arial"/>
        </w:rPr>
      </w:pPr>
    </w:p>
    <w:p w:rsidR="00F87902" w:rsidRDefault="00A519F9">
      <w:pPr>
        <w:ind w:left="720"/>
        <w:jc w:val="both"/>
        <w:rPr>
          <w:b/>
          <w:sz w:val="28"/>
          <w:u w:val="single"/>
        </w:rPr>
      </w:pPr>
      <w:r>
        <w:rPr>
          <w:b/>
          <w:sz w:val="28"/>
          <w:u w:val="single"/>
        </w:rPr>
        <w:t xml:space="preserve">Meta 2.1.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168.282</w:t>
      </w:r>
      <w:r>
        <w:rPr>
          <w:rFonts w:ascii="Arial" w:hAnsi="Arial" w:cs="Arial"/>
        </w:rPr>
        <w:t xml:space="preserve"> requerimientos de información en el ámbito del Sistema de información documental de la Universidad Nacional que propicie el uso de la información académica y científica de calidad.</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rPr>
          <w:rFonts w:ascii="Arial" w:hAnsi="Arial" w:cs="Arial"/>
        </w:rPr>
      </w:pPr>
      <w:r>
        <w:rPr>
          <w:rFonts w:ascii="Arial" w:hAnsi="Arial" w:cs="Arial"/>
        </w:rPr>
        <w:t xml:space="preserve">Se cumplió en un </w:t>
      </w:r>
      <w:r>
        <w:rPr>
          <w:rFonts w:ascii="Arial" w:hAnsi="Arial" w:cs="Arial"/>
          <w:b/>
        </w:rPr>
        <w:t>100%</w:t>
      </w:r>
      <w:r>
        <w:rPr>
          <w:rFonts w:ascii="Arial" w:hAnsi="Arial" w:cs="Arial"/>
        </w:rPr>
        <w:t xml:space="preserve"> al atender 189.631 requerimientos de información del tipo descrito en la meta.</w:t>
      </w:r>
    </w:p>
    <w:p w:rsidR="00F87902" w:rsidRDefault="00F87902">
      <w:pPr>
        <w:ind w:left="720"/>
        <w:jc w:val="both"/>
        <w:rPr>
          <w:rFonts w:ascii="Arial" w:hAnsi="Arial" w:cs="Arial"/>
        </w:rPr>
      </w:pPr>
    </w:p>
    <w:p w:rsidR="00F87902" w:rsidRDefault="00A519F9">
      <w:pPr>
        <w:ind w:left="708"/>
        <w:jc w:val="both"/>
        <w:rPr>
          <w:b/>
          <w:bCs/>
          <w:sz w:val="28"/>
          <w:szCs w:val="28"/>
          <w:lang w:val="es-CR" w:eastAsia="es-CR"/>
        </w:rPr>
      </w:pPr>
      <w:r>
        <w:rPr>
          <w:b/>
          <w:sz w:val="28"/>
          <w:u w:val="single"/>
        </w:rPr>
        <w:t>Ejecución presupuestaria.</w:t>
      </w:r>
      <w:r>
        <w:rPr>
          <w:b/>
          <w:bCs/>
          <w:i/>
          <w:sz w:val="28"/>
          <w:szCs w:val="28"/>
        </w:rPr>
        <w:t>81,6 %</w:t>
      </w:r>
    </w:p>
    <w:p w:rsidR="00F87902" w:rsidRDefault="00F87902">
      <w:pPr>
        <w:ind w:left="1440"/>
        <w:jc w:val="both"/>
        <w:rPr>
          <w:b/>
          <w:sz w:val="28"/>
        </w:rPr>
      </w:pPr>
    </w:p>
    <w:p w:rsidR="00F87902" w:rsidRDefault="00A519F9">
      <w:pPr>
        <w:ind w:left="720"/>
        <w:jc w:val="both"/>
        <w:rPr>
          <w:b/>
          <w:sz w:val="28"/>
          <w:u w:val="single"/>
        </w:rPr>
      </w:pPr>
      <w:r>
        <w:rPr>
          <w:b/>
          <w:sz w:val="28"/>
          <w:u w:val="single"/>
        </w:rPr>
        <w:t xml:space="preserve">Meta 2.2.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8</w:t>
      </w:r>
      <w:r>
        <w:rPr>
          <w:rFonts w:ascii="Arial" w:hAnsi="Arial" w:cs="Arial"/>
        </w:rPr>
        <w:t xml:space="preserve"> servicios ejecutados por el Departamento de Registro para brindar un servicio oportuno y de calidad a la población estudiantil.</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atendieron los servicios según lo esperado: inscripción de estudiantes, admisión nuevos de grado, matrícula, historia académica, graduación, empadronamiento, reconocimiento de grados y títulos y solicitudes de equiparación de cursos, con lo cual la meta alcanza un cumplimiento del </w:t>
      </w:r>
      <w:r>
        <w:rPr>
          <w:rFonts w:ascii="Arial" w:hAnsi="Arial" w:cs="Arial"/>
          <w:b/>
        </w:rPr>
        <w:t>100%</w:t>
      </w:r>
      <w:r>
        <w:rPr>
          <w:rFonts w:ascii="Arial" w:hAnsi="Arial" w:cs="Arial"/>
        </w:rPr>
        <w:t>.</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89,1%</w:t>
      </w:r>
    </w:p>
    <w:p w:rsidR="00F87902" w:rsidRDefault="00F87902">
      <w:pPr>
        <w:ind w:left="720"/>
        <w:jc w:val="both"/>
        <w:rPr>
          <w:b/>
          <w:sz w:val="28"/>
          <w:u w:val="single"/>
        </w:rPr>
      </w:pPr>
    </w:p>
    <w:p w:rsidR="00F87902" w:rsidRDefault="00F87902">
      <w:pPr>
        <w:jc w:val="both"/>
        <w:rPr>
          <w:b/>
          <w:sz w:val="28"/>
          <w:u w:val="single"/>
        </w:rPr>
      </w:pPr>
    </w:p>
    <w:p w:rsidR="00F87902" w:rsidRDefault="00A519F9">
      <w:pPr>
        <w:jc w:val="both"/>
        <w:rPr>
          <w:b/>
          <w:sz w:val="28"/>
          <w:u w:val="single"/>
        </w:rPr>
      </w:pPr>
      <w:r>
        <w:rPr>
          <w:b/>
          <w:sz w:val="28"/>
          <w:u w:val="single"/>
        </w:rPr>
        <w:t xml:space="preserve">Objetivo 3. </w:t>
      </w:r>
    </w:p>
    <w:p w:rsidR="00F87902" w:rsidRDefault="00A519F9">
      <w:pPr>
        <w:jc w:val="both"/>
        <w:rPr>
          <w:rFonts w:ascii="Arial" w:hAnsi="Arial" w:cs="Arial"/>
        </w:rPr>
      </w:pPr>
      <w:r>
        <w:rPr>
          <w:rFonts w:ascii="Arial" w:hAnsi="Arial" w:cs="Arial"/>
        </w:rPr>
        <w:t>Desarrollar servicios integrales que promuevan la mejora en las condiciones de vida de la comunidad universitaria.</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3.1. </w:t>
      </w:r>
    </w:p>
    <w:p w:rsidR="00F87902" w:rsidRDefault="00A519F9">
      <w:pPr>
        <w:ind w:left="720"/>
        <w:jc w:val="both"/>
        <w:rPr>
          <w:rFonts w:ascii="Arial" w:hAnsi="Arial" w:cs="Arial"/>
        </w:rPr>
      </w:pPr>
      <w:r>
        <w:rPr>
          <w:rFonts w:ascii="Arial" w:hAnsi="Arial" w:cs="Arial"/>
        </w:rPr>
        <w:t xml:space="preserve">Brindar </w:t>
      </w:r>
      <w:r>
        <w:rPr>
          <w:rFonts w:ascii="Arial" w:hAnsi="Arial" w:cs="Arial"/>
          <w:b/>
        </w:rPr>
        <w:t>20.900</w:t>
      </w:r>
      <w:r>
        <w:rPr>
          <w:rFonts w:ascii="Arial" w:hAnsi="Arial" w:cs="Arial"/>
        </w:rPr>
        <w:t xml:space="preserve"> atenciones en el servicio de salud (incluye 1.600 en medicina preventiva y 19.300 en medicina asistencial) a la comunidad universitaria que favorezcan una mejora en su calidad de vida.</w:t>
      </w:r>
    </w:p>
    <w:p w:rsidR="00F87902" w:rsidRDefault="00F87902">
      <w:pPr>
        <w:ind w:left="720"/>
        <w:jc w:val="both"/>
        <w:rPr>
          <w:rFonts w:ascii="Arial" w:hAnsi="Arial" w:cs="Arial"/>
          <w:lang w:val="es-CR"/>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brindaron 25.909 atenciones, lo cual representa un cumplimiento del </w:t>
      </w:r>
      <w:r>
        <w:rPr>
          <w:rFonts w:ascii="Arial" w:hAnsi="Arial" w:cs="Arial"/>
          <w:b/>
        </w:rPr>
        <w:t>100%</w:t>
      </w:r>
      <w:r>
        <w:rPr>
          <w:rFonts w:ascii="Arial" w:hAnsi="Arial" w:cs="Arial"/>
        </w:rPr>
        <w:t xml:space="preserve"> en los servicios descritos en la meta.</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97,2 %</w:t>
      </w:r>
    </w:p>
    <w:p w:rsidR="00F87902" w:rsidRDefault="00F87902">
      <w:pPr>
        <w:ind w:left="708"/>
        <w:jc w:val="both"/>
        <w:rPr>
          <w:b/>
          <w:sz w:val="28"/>
          <w:u w:val="single"/>
        </w:rPr>
      </w:pPr>
    </w:p>
    <w:p w:rsidR="000855CC" w:rsidRDefault="000855CC">
      <w:pPr>
        <w:ind w:left="708"/>
        <w:jc w:val="both"/>
        <w:rPr>
          <w:b/>
          <w:sz w:val="28"/>
          <w:u w:val="single"/>
        </w:rPr>
      </w:pPr>
    </w:p>
    <w:p w:rsidR="00F87902" w:rsidRDefault="00A519F9">
      <w:pPr>
        <w:ind w:left="708"/>
        <w:jc w:val="both"/>
        <w:rPr>
          <w:b/>
          <w:sz w:val="28"/>
          <w:u w:val="single"/>
        </w:rPr>
      </w:pPr>
      <w:r>
        <w:rPr>
          <w:b/>
          <w:sz w:val="28"/>
          <w:u w:val="single"/>
        </w:rPr>
        <w:lastRenderedPageBreak/>
        <w:t xml:space="preserve">Meta 3.2.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6.680</w:t>
      </w:r>
      <w:r>
        <w:rPr>
          <w:rFonts w:ascii="Arial" w:hAnsi="Arial" w:cs="Arial"/>
        </w:rPr>
        <w:t xml:space="preserve"> actividades, solicitudes y resoluciones en materia de protección de los derechos de la comunidad universitaria.</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La atención de esta meta genera un cumplimiento del </w:t>
      </w:r>
      <w:r>
        <w:rPr>
          <w:rFonts w:ascii="Arial" w:hAnsi="Arial" w:cs="Arial"/>
          <w:b/>
        </w:rPr>
        <w:t>86,6%</w:t>
      </w:r>
      <w:r>
        <w:rPr>
          <w:rFonts w:ascii="Arial" w:hAnsi="Arial" w:cs="Arial"/>
        </w:rPr>
        <w:t>, puesto que se atendieron 5.785 actividades de los tipos en ella descritos: solicitudes de reconocimiento de capacitaciones, de estudios de dedicación exclusiva resueltas, charlas, procesos administrativos representados, recusaciones, recursos de nulidad resueltos, etc.</w:t>
      </w:r>
    </w:p>
    <w:p w:rsidR="00F87902" w:rsidRDefault="00F87902">
      <w:pPr>
        <w:ind w:left="708"/>
        <w:jc w:val="both"/>
        <w:rPr>
          <w:b/>
          <w:sz w:val="28"/>
          <w:u w:val="single"/>
        </w:rPr>
      </w:pPr>
    </w:p>
    <w:p w:rsidR="00F87902" w:rsidRDefault="00A519F9">
      <w:pPr>
        <w:ind w:left="708"/>
        <w:jc w:val="both"/>
        <w:rPr>
          <w:b/>
          <w:bCs/>
          <w:sz w:val="28"/>
          <w:szCs w:val="28"/>
        </w:rPr>
      </w:pPr>
      <w:r>
        <w:rPr>
          <w:b/>
          <w:sz w:val="28"/>
          <w:u w:val="single"/>
        </w:rPr>
        <w:t>Ejecución presupuestaria.</w:t>
      </w:r>
      <w:r>
        <w:rPr>
          <w:b/>
          <w:bCs/>
          <w:i/>
          <w:sz w:val="28"/>
          <w:szCs w:val="28"/>
        </w:rPr>
        <w:t>86,8 %</w:t>
      </w:r>
    </w:p>
    <w:p w:rsidR="00F87902" w:rsidRDefault="00F87902">
      <w:pPr>
        <w:ind w:left="708"/>
        <w:jc w:val="both"/>
        <w:rPr>
          <w:b/>
          <w:bCs/>
          <w:sz w:val="28"/>
          <w:szCs w:val="28"/>
        </w:rPr>
      </w:pPr>
    </w:p>
    <w:p w:rsidR="00F87902" w:rsidRDefault="00F87902">
      <w:pPr>
        <w:ind w:left="1068"/>
        <w:jc w:val="both"/>
        <w:rPr>
          <w:rFonts w:ascii="Arial" w:hAnsi="Arial" w:cs="Arial"/>
          <w:i/>
          <w:sz w:val="22"/>
          <w:szCs w:val="22"/>
        </w:rPr>
      </w:pPr>
    </w:p>
    <w:p w:rsidR="00F87902" w:rsidRDefault="00A519F9">
      <w:pPr>
        <w:ind w:left="720"/>
        <w:jc w:val="both"/>
        <w:rPr>
          <w:b/>
          <w:sz w:val="28"/>
          <w:u w:val="single"/>
        </w:rPr>
      </w:pPr>
      <w:r>
        <w:rPr>
          <w:b/>
          <w:sz w:val="28"/>
          <w:u w:val="single"/>
        </w:rPr>
        <w:t xml:space="preserve">Meta 3.3. </w:t>
      </w:r>
    </w:p>
    <w:p w:rsidR="00F87902" w:rsidRDefault="00A519F9">
      <w:pPr>
        <w:ind w:left="720"/>
        <w:jc w:val="both"/>
        <w:rPr>
          <w:rFonts w:ascii="Arial" w:hAnsi="Arial" w:cs="Arial"/>
        </w:rPr>
      </w:pPr>
      <w:r>
        <w:rPr>
          <w:rFonts w:ascii="Arial" w:hAnsi="Arial" w:cs="Arial"/>
        </w:rPr>
        <w:t xml:space="preserve">Brindar </w:t>
      </w:r>
      <w:r>
        <w:rPr>
          <w:rFonts w:ascii="Arial" w:hAnsi="Arial" w:cs="Arial"/>
          <w:b/>
        </w:rPr>
        <w:t>1.387</w:t>
      </w:r>
      <w:r>
        <w:rPr>
          <w:rFonts w:ascii="Arial" w:hAnsi="Arial" w:cs="Arial"/>
        </w:rPr>
        <w:t xml:space="preserve"> servicios de producción editorial, publicaciones e impresiones, que permitan divulgar el quehacer universitario.</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 xml:space="preserve">Se brindaron 1.253 servicios de esta naturaleza, de lo cual se deriva  un cumplimiento del </w:t>
      </w:r>
      <w:r>
        <w:rPr>
          <w:rFonts w:ascii="Arial" w:hAnsi="Arial" w:cs="Arial"/>
          <w:b/>
        </w:rPr>
        <w:t>90%</w:t>
      </w:r>
      <w:r>
        <w:rPr>
          <w:rFonts w:ascii="Arial" w:hAnsi="Arial" w:cs="Arial"/>
        </w:rPr>
        <w:t>:obras publicadas, participación en actividades internacionales, participación en ferias editoriales, estrategias de colaboración editorial desarrolladas, estrategia de conversión de obras impresas a formato electrónico, solicitudes de impresión atendidas, participación en feria itinerante, consolidación de un sistema de información gerencial (Sieuna), solicitudes de impresión atendidas, etc.</w:t>
      </w:r>
    </w:p>
    <w:p w:rsidR="00F87902" w:rsidRDefault="00F87902">
      <w:pPr>
        <w:ind w:left="708"/>
        <w:jc w:val="both"/>
        <w:rPr>
          <w:b/>
          <w:sz w:val="28"/>
          <w:u w:val="single"/>
        </w:rPr>
      </w:pPr>
    </w:p>
    <w:p w:rsidR="00F87902" w:rsidRDefault="00A519F9">
      <w:pPr>
        <w:ind w:left="708"/>
        <w:jc w:val="both"/>
        <w:rPr>
          <w:b/>
          <w:bCs/>
          <w:sz w:val="28"/>
          <w:szCs w:val="28"/>
        </w:rPr>
      </w:pPr>
      <w:r>
        <w:rPr>
          <w:b/>
          <w:sz w:val="28"/>
          <w:u w:val="single"/>
        </w:rPr>
        <w:t>Ejecución presupuestaria.</w:t>
      </w:r>
      <w:r>
        <w:rPr>
          <w:b/>
          <w:bCs/>
          <w:i/>
          <w:sz w:val="28"/>
          <w:szCs w:val="28"/>
        </w:rPr>
        <w:t>84,7 %</w:t>
      </w:r>
    </w:p>
    <w:p w:rsidR="00F87902" w:rsidRDefault="00F87902">
      <w:pPr>
        <w:ind w:left="720"/>
        <w:jc w:val="both"/>
        <w:rPr>
          <w:b/>
          <w:sz w:val="28"/>
          <w:u w:val="single"/>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3.4. </w:t>
      </w:r>
    </w:p>
    <w:p w:rsidR="00F87902" w:rsidRDefault="00A519F9">
      <w:pPr>
        <w:ind w:left="720"/>
        <w:jc w:val="both"/>
        <w:rPr>
          <w:rFonts w:ascii="Arial" w:hAnsi="Arial" w:cs="Arial"/>
        </w:rPr>
      </w:pPr>
      <w:r>
        <w:rPr>
          <w:rFonts w:ascii="Arial" w:hAnsi="Arial" w:cs="Arial"/>
        </w:rPr>
        <w:t xml:space="preserve">Otorgar </w:t>
      </w:r>
      <w:r>
        <w:rPr>
          <w:rFonts w:ascii="Arial" w:hAnsi="Arial" w:cs="Arial"/>
          <w:b/>
        </w:rPr>
        <w:t>780</w:t>
      </w:r>
      <w:r>
        <w:rPr>
          <w:rFonts w:ascii="Arial" w:hAnsi="Arial" w:cs="Arial"/>
        </w:rPr>
        <w:t xml:space="preserve"> becas y ayudas a funcionarios –760 para capacitación en eventos cortos y 20 becas de posgrado– para actualizar y mejorar su perfil profesional.</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Se otorgaron 778 becas y ayudas con lo cual el cumplimiento es del </w:t>
      </w:r>
      <w:r>
        <w:rPr>
          <w:rFonts w:ascii="Arial" w:hAnsi="Arial" w:cs="Arial"/>
          <w:b/>
        </w:rPr>
        <w:t>99,7%</w:t>
      </w:r>
      <w:r>
        <w:rPr>
          <w:rFonts w:ascii="Arial" w:hAnsi="Arial" w:cs="Arial"/>
        </w:rPr>
        <w:t>.</w:t>
      </w:r>
    </w:p>
    <w:p w:rsidR="00F87902" w:rsidRDefault="00F87902">
      <w:pPr>
        <w:ind w:left="708"/>
        <w:jc w:val="both"/>
        <w:rPr>
          <w:b/>
          <w:sz w:val="28"/>
          <w:u w:val="single"/>
        </w:rPr>
      </w:pPr>
    </w:p>
    <w:p w:rsidR="00F87902" w:rsidRDefault="00A519F9">
      <w:pPr>
        <w:ind w:left="708"/>
        <w:jc w:val="both"/>
        <w:rPr>
          <w:b/>
          <w:bCs/>
          <w:i/>
          <w:sz w:val="28"/>
          <w:szCs w:val="28"/>
        </w:rPr>
      </w:pPr>
      <w:r>
        <w:rPr>
          <w:b/>
          <w:sz w:val="28"/>
          <w:u w:val="single"/>
        </w:rPr>
        <w:t>Ejecución presupuestaria.</w:t>
      </w:r>
      <w:r>
        <w:rPr>
          <w:b/>
          <w:bCs/>
          <w:i/>
          <w:sz w:val="28"/>
          <w:szCs w:val="28"/>
        </w:rPr>
        <w:t>74,5 %</w:t>
      </w:r>
    </w:p>
    <w:p w:rsidR="00F87902" w:rsidRDefault="00F87902">
      <w:pPr>
        <w:ind w:left="708"/>
        <w:jc w:val="both"/>
        <w:rPr>
          <w:b/>
          <w:bCs/>
          <w:sz w:val="28"/>
          <w:szCs w:val="28"/>
        </w:rPr>
      </w:pPr>
    </w:p>
    <w:p w:rsidR="00F87902" w:rsidRDefault="00A519F9" w:rsidP="009B69F5">
      <w:pPr>
        <w:pStyle w:val="Prrafodelista"/>
        <w:ind w:left="1416"/>
        <w:rPr>
          <w:rFonts w:ascii="Arial" w:hAnsi="Arial" w:cs="Arial"/>
          <w:i/>
          <w:sz w:val="22"/>
          <w:szCs w:val="22"/>
        </w:rPr>
      </w:pPr>
      <w:r>
        <w:rPr>
          <w:rFonts w:ascii="Arial" w:hAnsi="Arial" w:cs="Arial"/>
          <w:i/>
          <w:sz w:val="22"/>
          <w:szCs w:val="22"/>
        </w:rPr>
        <w:t>La baja ejecución de recursos asociados con esta meta se deriva de haber ejecutado, a la fecha de corte de este informe, solamente 766 millones de colones, de los 1.044 millones asignados para becas y ayudas a funcionarios; debido principalmente a que en su lugar se han utilizado fondos provenientes del préstamo Gobierno de la República-Banco Mundial asignados a la Universidad, para financiar las becas de posgrado así como las participaciones en eventos internacionales.</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sz w:val="28"/>
          <w:u w:val="single"/>
        </w:rPr>
      </w:pPr>
      <w:r>
        <w:rPr>
          <w:rFonts w:ascii="Arial" w:hAnsi="Arial" w:cs="Arial"/>
        </w:rPr>
        <w:t>Dar seguimiento a la asignación de becas y ayudas a funcionarios institucionales, y el monto asignado a Junta de Becas para atender este concepto tanto las financiadas con recursos institucionales como las que se financian con recursos provenientes del Plan de Mejoramiento Institucional, con el fin de garantizar la adecuada capacitación y especialización de los funcionarios universitarios.</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5715C5">
      <w:pPr>
        <w:ind w:left="1394" w:hanging="709"/>
        <w:jc w:val="both"/>
        <w:rPr>
          <w:rFonts w:ascii="Arial" w:hAnsi="Arial" w:cs="Arial"/>
          <w:sz w:val="22"/>
        </w:rPr>
      </w:pPr>
      <w:r>
        <w:rPr>
          <w:rFonts w:ascii="Arial" w:hAnsi="Arial" w:cs="Arial"/>
        </w:rPr>
        <w:tab/>
      </w:r>
      <w:r w:rsidR="00A519F9">
        <w:rPr>
          <w:rFonts w:ascii="Arial" w:hAnsi="Arial" w:cs="Arial"/>
        </w:rPr>
        <w:t>Rectoría, Junta de Becas.</w:t>
      </w:r>
    </w:p>
    <w:p w:rsidR="00F87902" w:rsidRDefault="00F87902">
      <w:pPr>
        <w:jc w:val="both"/>
        <w:rPr>
          <w:rFonts w:ascii="Arial" w:hAnsi="Arial" w:cs="Arial"/>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3.5. </w:t>
      </w:r>
    </w:p>
    <w:p w:rsidR="00F87902" w:rsidRDefault="00A519F9">
      <w:pPr>
        <w:ind w:left="720"/>
        <w:jc w:val="both"/>
        <w:rPr>
          <w:rFonts w:ascii="Arial" w:hAnsi="Arial" w:cs="Arial"/>
        </w:rPr>
      </w:pPr>
      <w:r>
        <w:rPr>
          <w:rFonts w:ascii="Arial" w:hAnsi="Arial" w:cs="Arial"/>
        </w:rPr>
        <w:t xml:space="preserve">Apoyar a </w:t>
      </w:r>
      <w:r>
        <w:rPr>
          <w:rFonts w:ascii="Arial" w:hAnsi="Arial" w:cs="Arial"/>
          <w:b/>
        </w:rPr>
        <w:t>48</w:t>
      </w:r>
      <w:r>
        <w:rPr>
          <w:rFonts w:ascii="Arial" w:hAnsi="Arial" w:cs="Arial"/>
        </w:rPr>
        <w:t xml:space="preserve"> laboratorios de la Universidad para garantizar condiciones de seguridad en su operación.</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pPr>
      <w:r>
        <w:rPr>
          <w:rFonts w:ascii="Arial" w:hAnsi="Arial" w:cs="Arial"/>
        </w:rPr>
        <w:t xml:space="preserve">Se considera un cumplimiento de la meta del </w:t>
      </w:r>
      <w:r w:rsidRPr="00E36019">
        <w:rPr>
          <w:rFonts w:ascii="Arial" w:hAnsi="Arial" w:cs="Arial"/>
          <w:b/>
        </w:rPr>
        <w:t>100%</w:t>
      </w:r>
      <w:r w:rsidR="00E36019">
        <w:rPr>
          <w:rFonts w:ascii="Arial" w:hAnsi="Arial" w:cs="Arial"/>
        </w:rPr>
        <w:t xml:space="preserve">en vista de </w:t>
      </w:r>
      <w:r>
        <w:rPr>
          <w:rFonts w:ascii="Arial" w:hAnsi="Arial" w:cs="Arial"/>
        </w:rPr>
        <w:t xml:space="preserve">que se han desarrollado en los 48 laboratorios actividades tendientes a garantizar </w:t>
      </w:r>
      <w:r w:rsidR="00E36019">
        <w:rPr>
          <w:rFonts w:ascii="Arial" w:hAnsi="Arial" w:cs="Arial"/>
        </w:rPr>
        <w:t>su</w:t>
      </w:r>
      <w:r>
        <w:rPr>
          <w:rFonts w:ascii="Arial" w:hAnsi="Arial" w:cs="Arial"/>
        </w:rPr>
        <w:t xml:space="preserve"> adecuado funcionamiento, en cuanto al uso y la manipulación de sustancias químicas, desarrollo de procesos de acreditación y mejoramiento de la calidad de los laboratorios.</w:t>
      </w:r>
    </w:p>
    <w:p w:rsidR="00F87902" w:rsidRDefault="00F87902">
      <w:pPr>
        <w:ind w:left="720"/>
        <w:jc w:val="both"/>
        <w:rPr>
          <w:rFonts w:ascii="Arial" w:hAnsi="Arial" w:cs="Arial"/>
          <w:color w:val="0070C0"/>
        </w:rPr>
      </w:pPr>
    </w:p>
    <w:p w:rsidR="00F87902" w:rsidRDefault="00F87902">
      <w:pPr>
        <w:ind w:left="708"/>
        <w:jc w:val="both"/>
        <w:rPr>
          <w:b/>
          <w:sz w:val="28"/>
          <w:u w:val="single"/>
        </w:rPr>
      </w:pPr>
    </w:p>
    <w:p w:rsidR="00F87902" w:rsidRDefault="00A519F9">
      <w:pPr>
        <w:ind w:left="708"/>
        <w:jc w:val="both"/>
        <w:rPr>
          <w:b/>
          <w:bCs/>
          <w:i/>
          <w:sz w:val="28"/>
          <w:szCs w:val="28"/>
        </w:rPr>
      </w:pPr>
      <w:r>
        <w:rPr>
          <w:b/>
          <w:sz w:val="28"/>
          <w:u w:val="single"/>
        </w:rPr>
        <w:t>Ejecución presupuestaria.</w:t>
      </w:r>
      <w:r>
        <w:rPr>
          <w:b/>
          <w:bCs/>
          <w:i/>
          <w:sz w:val="28"/>
          <w:szCs w:val="28"/>
        </w:rPr>
        <w:t>51,1%</w:t>
      </w:r>
    </w:p>
    <w:p w:rsidR="00F87902" w:rsidRDefault="00F87902">
      <w:pPr>
        <w:ind w:left="708"/>
        <w:jc w:val="both"/>
        <w:rPr>
          <w:b/>
          <w:bCs/>
          <w:sz w:val="28"/>
          <w:szCs w:val="28"/>
        </w:rPr>
      </w:pPr>
    </w:p>
    <w:p w:rsidR="00F87902" w:rsidRDefault="00A519F9" w:rsidP="00E36019">
      <w:pPr>
        <w:ind w:left="1416"/>
        <w:jc w:val="both"/>
        <w:rPr>
          <w:rFonts w:ascii="Arial" w:hAnsi="Arial" w:cs="Arial"/>
          <w:i/>
          <w:sz w:val="22"/>
          <w:szCs w:val="22"/>
        </w:rPr>
      </w:pPr>
      <w:r>
        <w:rPr>
          <w:rFonts w:ascii="Arial" w:hAnsi="Arial" w:cs="Arial"/>
          <w:i/>
          <w:sz w:val="22"/>
          <w:szCs w:val="22"/>
        </w:rPr>
        <w:t>La baja ejecución de recursos en esta meta se debe a la existencia de casi 138 millones de colones en compromisos para la compra de equipos de seguridad en laboratorios que serán entregados durante el 2016; los cuales, sumados al porcentaje descrito la elevarían a un 96%.</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al proceso de compra y velar por que las condiciones de entrega de equipos se realicen de acuerdo con los cronogramas establecidos.</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i/>
          <w:sz w:val="22"/>
          <w:szCs w:val="22"/>
        </w:rPr>
      </w:pPr>
      <w:r>
        <w:rPr>
          <w:rFonts w:ascii="Arial" w:hAnsi="Arial" w:cs="Arial"/>
        </w:rPr>
        <w:t>Regente químico, Vicerrectoría de Administración (Proveeduría Institucional), Rectoría.</w:t>
      </w:r>
    </w:p>
    <w:p w:rsidR="00F87902" w:rsidRDefault="00F87902">
      <w:pPr>
        <w:ind w:left="708"/>
        <w:jc w:val="both"/>
        <w:rPr>
          <w:b/>
          <w:bCs/>
          <w:sz w:val="28"/>
          <w:szCs w:val="28"/>
        </w:rPr>
      </w:pPr>
    </w:p>
    <w:p w:rsidR="00F87902" w:rsidRDefault="00F87902">
      <w:pPr>
        <w:jc w:val="both"/>
        <w:rPr>
          <w:b/>
          <w:sz w:val="28"/>
          <w:u w:val="single"/>
        </w:rPr>
      </w:pPr>
    </w:p>
    <w:p w:rsidR="00F87902" w:rsidRDefault="00A519F9">
      <w:pPr>
        <w:jc w:val="both"/>
        <w:rPr>
          <w:b/>
          <w:sz w:val="28"/>
          <w:u w:val="single"/>
        </w:rPr>
      </w:pPr>
      <w:r>
        <w:br w:type="page"/>
      </w:r>
    </w:p>
    <w:p w:rsidR="00F87902" w:rsidRDefault="00A519F9">
      <w:pPr>
        <w:jc w:val="both"/>
      </w:pPr>
      <w:r>
        <w:rPr>
          <w:b/>
          <w:sz w:val="28"/>
          <w:u w:val="single"/>
        </w:rPr>
        <w:lastRenderedPageBreak/>
        <w:t xml:space="preserve">Objetivo 4. </w:t>
      </w:r>
    </w:p>
    <w:p w:rsidR="00F87902" w:rsidRDefault="00A519F9">
      <w:pPr>
        <w:jc w:val="both"/>
        <w:rPr>
          <w:rFonts w:ascii="Arial" w:hAnsi="Arial" w:cs="Arial"/>
        </w:rPr>
      </w:pPr>
      <w:r>
        <w:rPr>
          <w:rFonts w:ascii="Arial" w:hAnsi="Arial" w:cs="Arial"/>
        </w:rPr>
        <w:t>Mejorar las condiciones de infraestructura física, dedicadas a asegurar la permanencia de los estudiantes de la sede regional Brunca.</w:t>
      </w:r>
    </w:p>
    <w:p w:rsidR="00F87902" w:rsidRDefault="00F87902">
      <w:pPr>
        <w:rPr>
          <w:b/>
          <w:sz w:val="28"/>
          <w:u w:val="single"/>
        </w:rPr>
      </w:pPr>
    </w:p>
    <w:p w:rsidR="00F87902" w:rsidRDefault="00A519F9">
      <w:pPr>
        <w:ind w:left="720"/>
        <w:jc w:val="both"/>
        <w:rPr>
          <w:b/>
          <w:sz w:val="28"/>
          <w:u w:val="single"/>
        </w:rPr>
      </w:pPr>
      <w:r>
        <w:rPr>
          <w:b/>
          <w:sz w:val="28"/>
          <w:u w:val="single"/>
        </w:rPr>
        <w:t xml:space="preserve">Meta 4.1. </w:t>
      </w:r>
    </w:p>
    <w:p w:rsidR="00F87902" w:rsidRDefault="00A519F9">
      <w:pPr>
        <w:ind w:left="720"/>
        <w:jc w:val="both"/>
        <w:rPr>
          <w:rFonts w:ascii="Arial" w:hAnsi="Arial" w:cs="Arial"/>
        </w:rPr>
      </w:pPr>
      <w:r>
        <w:rPr>
          <w:rFonts w:ascii="Arial" w:hAnsi="Arial" w:cs="Arial"/>
        </w:rPr>
        <w:t xml:space="preserve">Gestionar </w:t>
      </w:r>
      <w:r>
        <w:rPr>
          <w:rFonts w:ascii="Arial" w:hAnsi="Arial" w:cs="Arial"/>
          <w:b/>
        </w:rPr>
        <w:t>2 obras</w:t>
      </w:r>
      <w:r>
        <w:rPr>
          <w:rFonts w:ascii="Arial" w:hAnsi="Arial" w:cs="Arial"/>
        </w:rPr>
        <w:t xml:space="preserve"> de inversión (residencias estudiantiles en Pérez Zeledón y obras deportivas en el campus Coto).</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sz w:val="22"/>
          <w:szCs w:val="22"/>
        </w:rPr>
      </w:pPr>
      <w:r>
        <w:rPr>
          <w:rFonts w:ascii="Arial" w:hAnsi="Arial" w:cs="Arial"/>
          <w:sz w:val="22"/>
          <w:szCs w:val="22"/>
        </w:rPr>
        <w:t xml:space="preserve">La meta se ha cumplido en un estimado del </w:t>
      </w:r>
      <w:r>
        <w:rPr>
          <w:rFonts w:ascii="Arial" w:hAnsi="Arial" w:cs="Arial"/>
          <w:b/>
          <w:sz w:val="22"/>
          <w:szCs w:val="22"/>
        </w:rPr>
        <w:t>100%</w:t>
      </w:r>
      <w:r>
        <w:rPr>
          <w:rFonts w:ascii="Arial" w:hAnsi="Arial" w:cs="Arial"/>
          <w:sz w:val="22"/>
          <w:szCs w:val="22"/>
        </w:rPr>
        <w:t>, aun cuando no presente prácticamente ejecución presupuestaria, puesto que si bien solamente se adjudicaron las obras deportivas en el campus Coto, sí se lograron gestionar 4 obras en las diferentes sedes de la Universidad que iniciarán en el 2016 (residencias y obras deportivas en Nicoya, Liberia y Pérez Zeledón, y residencias en Sarapiquí).</w:t>
      </w:r>
    </w:p>
    <w:p w:rsidR="00F87902" w:rsidRDefault="00F87902">
      <w:pPr>
        <w:ind w:left="708"/>
        <w:jc w:val="both"/>
        <w:rPr>
          <w:b/>
          <w:sz w:val="28"/>
          <w:u w:val="single"/>
        </w:rPr>
      </w:pPr>
    </w:p>
    <w:p w:rsidR="00F87902" w:rsidRDefault="00A519F9">
      <w:pPr>
        <w:ind w:left="708"/>
        <w:jc w:val="both"/>
        <w:rPr>
          <w:b/>
          <w:bCs/>
          <w:sz w:val="28"/>
          <w:szCs w:val="28"/>
        </w:rPr>
      </w:pPr>
      <w:r>
        <w:rPr>
          <w:b/>
          <w:sz w:val="28"/>
          <w:u w:val="single"/>
        </w:rPr>
        <w:t>Ejecución presupuestaria.</w:t>
      </w:r>
      <w:r>
        <w:rPr>
          <w:b/>
          <w:bCs/>
          <w:i/>
          <w:sz w:val="28"/>
          <w:szCs w:val="28"/>
        </w:rPr>
        <w:t>3,8%</w:t>
      </w:r>
    </w:p>
    <w:p w:rsidR="00F87902" w:rsidRDefault="00F87902">
      <w:pPr>
        <w:ind w:left="708"/>
        <w:jc w:val="both"/>
        <w:rPr>
          <w:b/>
          <w:bCs/>
          <w:sz w:val="28"/>
          <w:szCs w:val="28"/>
        </w:rPr>
      </w:pPr>
    </w:p>
    <w:p w:rsidR="00F87902" w:rsidRDefault="00A519F9">
      <w:pPr>
        <w:ind w:left="708"/>
        <w:jc w:val="both"/>
        <w:rPr>
          <w:rFonts w:ascii="Arial" w:hAnsi="Arial" w:cs="Arial"/>
          <w:i/>
          <w:sz w:val="22"/>
          <w:szCs w:val="22"/>
        </w:rPr>
      </w:pPr>
      <w:r>
        <w:rPr>
          <w:rFonts w:ascii="Arial" w:hAnsi="Arial" w:cs="Arial"/>
          <w:i/>
          <w:sz w:val="22"/>
          <w:szCs w:val="22"/>
        </w:rPr>
        <w:t>La baja ejecución de esta meta se origina en los procesos de licitación y construcción que tienen asociados los proyectos de infraestructura que contempla la meta (obras deportivas y residencias financiadas con recursos provenientes del Plan de Mejoramiento Institucional). De acuerdo con el cronograma de ejecución, durante el 2016 y  2017 se concentra la construcción de dichos proyectos.</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detallado al Plan de Mejoramiento Institucional, específicamente al cronograma de ejecución de obras.</w:t>
      </w:r>
    </w:p>
    <w:p w:rsidR="00F87902" w:rsidRDefault="00F87902">
      <w:pPr>
        <w:ind w:left="1416"/>
        <w:jc w:val="both"/>
        <w:rPr>
          <w:rFonts w:ascii="Arial" w:hAnsi="Arial" w:cs="Arial"/>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i/>
          <w:sz w:val="22"/>
          <w:szCs w:val="22"/>
        </w:rPr>
      </w:pPr>
      <w:r>
        <w:rPr>
          <w:rFonts w:ascii="Arial" w:hAnsi="Arial" w:cs="Arial"/>
        </w:rPr>
        <w:t xml:space="preserve">Rectoría, Unidad coordinadora del proyecto institucional, </w:t>
      </w:r>
      <w:r>
        <w:rPr>
          <w:rFonts w:ascii="Arial" w:hAnsi="Arial" w:cs="Arial"/>
          <w:i/>
        </w:rPr>
        <w:t>Prodemi</w:t>
      </w:r>
      <w:r>
        <w:rPr>
          <w:rFonts w:ascii="Arial" w:hAnsi="Arial" w:cs="Arial"/>
        </w:rPr>
        <w:t>.</w:t>
      </w:r>
    </w:p>
    <w:p w:rsidR="00F87902" w:rsidRDefault="00F87902">
      <w:pPr>
        <w:jc w:val="both"/>
        <w:rPr>
          <w:b/>
          <w:sz w:val="28"/>
          <w:szCs w:val="28"/>
        </w:rPr>
      </w:pPr>
    </w:p>
    <w:p w:rsidR="00F87902" w:rsidRDefault="00F87902">
      <w:pPr>
        <w:jc w:val="both"/>
        <w:rPr>
          <w:b/>
          <w:sz w:val="28"/>
          <w:szCs w:val="28"/>
        </w:rPr>
      </w:pPr>
    </w:p>
    <w:p w:rsidR="00F87902" w:rsidRDefault="00A519F9">
      <w:pPr>
        <w:jc w:val="both"/>
        <w:rPr>
          <w:b/>
          <w:sz w:val="28"/>
          <w:szCs w:val="28"/>
        </w:rPr>
      </w:pPr>
      <w:r>
        <w:rPr>
          <w:b/>
          <w:sz w:val="28"/>
          <w:szCs w:val="28"/>
        </w:rPr>
        <w:t>PROGRAMA ADMINISTRATIVO</w:t>
      </w:r>
    </w:p>
    <w:p w:rsidR="00F87902" w:rsidRDefault="00F87902">
      <w:pPr>
        <w:jc w:val="both"/>
        <w:rPr>
          <w:b/>
          <w:sz w:val="28"/>
          <w:u w:val="single"/>
        </w:rPr>
      </w:pPr>
    </w:p>
    <w:p w:rsidR="00F87902" w:rsidRDefault="00A519F9">
      <w:pPr>
        <w:jc w:val="both"/>
        <w:rPr>
          <w:b/>
          <w:sz w:val="28"/>
          <w:u w:val="single"/>
        </w:rPr>
      </w:pPr>
      <w:r>
        <w:rPr>
          <w:b/>
          <w:sz w:val="28"/>
          <w:u w:val="single"/>
        </w:rPr>
        <w:t xml:space="preserve">Objetivo 1. </w:t>
      </w:r>
    </w:p>
    <w:p w:rsidR="00F87902" w:rsidRDefault="00A519F9">
      <w:pPr>
        <w:jc w:val="both"/>
        <w:rPr>
          <w:rFonts w:ascii="Arial" w:hAnsi="Arial" w:cs="Arial"/>
        </w:rPr>
      </w:pPr>
      <w:r>
        <w:rPr>
          <w:rFonts w:ascii="Arial" w:hAnsi="Arial" w:cs="Arial"/>
        </w:rPr>
        <w:t>Fortalecer la gestión orientada a la simplificación y la articulación de los procesos institucionales, en concordancia con la visión estratégica.</w:t>
      </w:r>
    </w:p>
    <w:p w:rsidR="00F87902" w:rsidRDefault="00F87902">
      <w:pPr>
        <w:jc w:val="both"/>
        <w:rPr>
          <w:rFonts w:ascii="Arial" w:hAnsi="Arial" w:cs="Arial"/>
        </w:rPr>
      </w:pPr>
    </w:p>
    <w:p w:rsidR="00F87902" w:rsidRDefault="00A519F9">
      <w:pPr>
        <w:ind w:left="720"/>
        <w:jc w:val="both"/>
        <w:rPr>
          <w:b/>
          <w:sz w:val="28"/>
          <w:u w:val="single"/>
        </w:rPr>
      </w:pPr>
      <w:r>
        <w:rPr>
          <w:b/>
          <w:sz w:val="28"/>
          <w:u w:val="single"/>
        </w:rPr>
        <w:t xml:space="preserve">Meta 1.1. </w:t>
      </w:r>
    </w:p>
    <w:p w:rsidR="00F87902" w:rsidRDefault="00A519F9">
      <w:pPr>
        <w:ind w:left="720"/>
        <w:jc w:val="both"/>
        <w:rPr>
          <w:rFonts w:ascii="Arial" w:hAnsi="Arial" w:cs="Arial"/>
        </w:rPr>
      </w:pPr>
      <w:r>
        <w:rPr>
          <w:rFonts w:ascii="Arial" w:hAnsi="Arial" w:cs="Arial"/>
        </w:rPr>
        <w:t xml:space="preserve">Realizar </w:t>
      </w:r>
      <w:r>
        <w:rPr>
          <w:rFonts w:ascii="Arial" w:hAnsi="Arial" w:cs="Arial"/>
          <w:b/>
        </w:rPr>
        <w:t>79</w:t>
      </w:r>
      <w:r>
        <w:rPr>
          <w:rFonts w:ascii="Arial" w:hAnsi="Arial" w:cs="Arial"/>
        </w:rPr>
        <w:t xml:space="preserve"> actividades  tendientes al fortalecimiento de la planificación institucional y el apoyo a la gestión académica, para una eficiente asignación, ejecución y seguimiento de los recursos asignados.</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 xml:space="preserve">101 actividades desarrolladas orientadas al cumplimiento de lo formulado en la meta: dictámenes sobre instrumentos de cooperación, informe de estadísticas </w:t>
      </w:r>
      <w:r>
        <w:rPr>
          <w:rFonts w:ascii="Arial" w:hAnsi="Arial" w:cs="Arial"/>
        </w:rPr>
        <w:lastRenderedPageBreak/>
        <w:t xml:space="preserve">institucionales para dar seguimiento al </w:t>
      </w:r>
      <w:r>
        <w:rPr>
          <w:rFonts w:ascii="Arial" w:hAnsi="Arial" w:cs="Arial"/>
          <w:i/>
        </w:rPr>
        <w:t>Planes</w:t>
      </w:r>
      <w:r>
        <w:rPr>
          <w:rFonts w:ascii="Arial" w:hAnsi="Arial" w:cs="Arial"/>
        </w:rPr>
        <w:t xml:space="preserve">, estudios específicos, informes de seguimiento, cálculo de algoritmos, documentos presupuestarios, informes especiales, entre otros, que conllevan un cumplimiento del </w:t>
      </w:r>
      <w:r>
        <w:rPr>
          <w:rFonts w:ascii="Arial" w:hAnsi="Arial" w:cs="Arial"/>
          <w:b/>
        </w:rPr>
        <w:t>100%</w:t>
      </w:r>
      <w:r>
        <w:rPr>
          <w:rFonts w:ascii="Arial" w:hAnsi="Arial" w:cs="Arial"/>
        </w:rPr>
        <w:t>.</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94,0%</w:t>
      </w:r>
    </w:p>
    <w:p w:rsidR="00F87902" w:rsidRDefault="00F87902">
      <w:pPr>
        <w:ind w:left="708"/>
        <w:jc w:val="both"/>
        <w:rPr>
          <w:b/>
          <w:bCs/>
          <w:color w:val="0070C0"/>
          <w:sz w:val="28"/>
          <w:szCs w:val="28"/>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1.2.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1.682</w:t>
      </w:r>
      <w:r>
        <w:rPr>
          <w:rFonts w:ascii="Arial" w:hAnsi="Arial" w:cs="Arial"/>
        </w:rPr>
        <w:t xml:space="preserve"> actividades y acuerdos en los órganos de dirección superior que orienten el desarrollo universitario.</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El cumplimiento del </w:t>
      </w:r>
      <w:r>
        <w:rPr>
          <w:rFonts w:ascii="Arial" w:hAnsi="Arial" w:cs="Arial"/>
          <w:b/>
        </w:rPr>
        <w:t xml:space="preserve">100% </w:t>
      </w:r>
      <w:r>
        <w:rPr>
          <w:rFonts w:ascii="Arial" w:hAnsi="Arial" w:cs="Arial"/>
        </w:rPr>
        <w:t xml:space="preserve">se ha manifestado mediante el desarrollo de 1.757  actividades, tales como acuerdos transcritos; dictámenes tramitados; prototipos de módulos para sistema de información; agentes de cambio formados con competencias y habilidades para generar procesos de cambio; sesiones de coordinación, trabajo y seguimiento entre diversas instancias; sesiones de </w:t>
      </w:r>
      <w:r>
        <w:rPr>
          <w:rFonts w:ascii="Arial" w:hAnsi="Arial" w:cs="Arial"/>
          <w:i/>
        </w:rPr>
        <w:t>Conseco</w:t>
      </w:r>
      <w:r>
        <w:rPr>
          <w:rFonts w:ascii="Arial" w:hAnsi="Arial" w:cs="Arial"/>
        </w:rPr>
        <w:t xml:space="preserve">; reuniones con organismos nacionales e internacionales, informes ejecutivos sobre el avance y grado de cumplimiento del proyecto </w:t>
      </w:r>
      <w:r>
        <w:rPr>
          <w:rFonts w:ascii="Arial" w:hAnsi="Arial" w:cs="Arial"/>
          <w:i/>
        </w:rPr>
        <w:t>Sigesa</w:t>
      </w:r>
      <w:r>
        <w:rPr>
          <w:rFonts w:ascii="Arial" w:hAnsi="Arial" w:cs="Arial"/>
        </w:rPr>
        <w:t>, reuniones con organismos nacionales e internacionales, etc.</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72,8%</w:t>
      </w:r>
    </w:p>
    <w:p w:rsidR="00F87902" w:rsidRDefault="00F87902">
      <w:pPr>
        <w:ind w:left="708"/>
        <w:jc w:val="both"/>
        <w:rPr>
          <w:b/>
          <w:bCs/>
          <w:sz w:val="28"/>
          <w:szCs w:val="28"/>
        </w:rPr>
      </w:pPr>
    </w:p>
    <w:p w:rsidR="00F87902" w:rsidRDefault="00A519F9">
      <w:pPr>
        <w:ind w:left="1068"/>
        <w:jc w:val="both"/>
        <w:rPr>
          <w:rFonts w:ascii="Arial" w:hAnsi="Arial" w:cs="Arial"/>
          <w:i/>
          <w:sz w:val="22"/>
          <w:szCs w:val="22"/>
        </w:rPr>
      </w:pPr>
      <w:r>
        <w:rPr>
          <w:rFonts w:ascii="Arial" w:hAnsi="Arial" w:cs="Arial"/>
          <w:i/>
          <w:sz w:val="22"/>
          <w:szCs w:val="22"/>
        </w:rPr>
        <w:t xml:space="preserve">La baja ejecución en esta meta se debe, en gran medida, a la existencia de recursos provenientes de superávit anteriores que se administran desde la dirección superior, los cuales generaron compromisos para su ejecución durante el 2016. De sumarse tales compromisos, la ejecución de la meta rondaría el 90%.     </w:t>
      </w:r>
    </w:p>
    <w:p w:rsidR="00F87902" w:rsidRDefault="00F87902">
      <w:pPr>
        <w:ind w:left="1068"/>
        <w:jc w:val="both"/>
        <w:rPr>
          <w:rFonts w:ascii="Arial" w:hAnsi="Arial" w:cs="Arial"/>
          <w:i/>
          <w:sz w:val="22"/>
          <w:szCs w:val="22"/>
        </w:rPr>
      </w:pP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Brindar seguimiento a los recursos provenientes de superávit administrados desde la dirección superior y garantizar su oportuna ejecución, en concordancia con los cronogramas establecidos.</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rPr>
        <w:t>Vicerrectoría de Administración, Rectoría.</w:t>
      </w:r>
    </w:p>
    <w:p w:rsidR="00F87902" w:rsidRDefault="00F87902">
      <w:pPr>
        <w:ind w:left="708"/>
        <w:jc w:val="both"/>
        <w:rPr>
          <w:b/>
          <w:bCs/>
          <w:sz w:val="28"/>
          <w:szCs w:val="28"/>
        </w:rPr>
      </w:pPr>
    </w:p>
    <w:p w:rsidR="00F87902" w:rsidRDefault="00F87902">
      <w:pPr>
        <w:ind w:left="1068"/>
        <w:jc w:val="both"/>
        <w:rPr>
          <w:rFonts w:ascii="Arial" w:hAnsi="Arial" w:cs="Arial"/>
          <w:i/>
          <w:sz w:val="22"/>
          <w:szCs w:val="22"/>
        </w:rPr>
      </w:pPr>
    </w:p>
    <w:p w:rsidR="00F87902" w:rsidRDefault="00A519F9">
      <w:pPr>
        <w:ind w:left="720"/>
        <w:jc w:val="both"/>
        <w:rPr>
          <w:b/>
          <w:sz w:val="28"/>
          <w:u w:val="single"/>
        </w:rPr>
      </w:pPr>
      <w:r>
        <w:rPr>
          <w:b/>
          <w:sz w:val="28"/>
          <w:u w:val="single"/>
        </w:rPr>
        <w:t xml:space="preserve">Meta 1.3. </w:t>
      </w:r>
    </w:p>
    <w:p w:rsidR="00F87902" w:rsidRDefault="00A519F9">
      <w:pPr>
        <w:ind w:left="720"/>
        <w:jc w:val="both"/>
        <w:rPr>
          <w:rFonts w:ascii="Arial" w:hAnsi="Arial" w:cs="Arial"/>
        </w:rPr>
      </w:pPr>
      <w:r>
        <w:rPr>
          <w:rFonts w:ascii="Arial" w:hAnsi="Arial" w:cs="Arial"/>
        </w:rPr>
        <w:t xml:space="preserve">Realizar </w:t>
      </w:r>
      <w:r>
        <w:rPr>
          <w:rFonts w:ascii="Arial" w:hAnsi="Arial" w:cs="Arial"/>
          <w:b/>
        </w:rPr>
        <w:t>771</w:t>
      </w:r>
      <w:r>
        <w:rPr>
          <w:rFonts w:ascii="Arial" w:hAnsi="Arial" w:cs="Arial"/>
        </w:rPr>
        <w:t xml:space="preserve"> actividades que  proyecten la Universidad en los ámbitos nacional e internacional, de manera que coadyuven a la implementación de la estrategia de internacionalización.</w:t>
      </w:r>
    </w:p>
    <w:p w:rsidR="00F87902" w:rsidRDefault="00F87902">
      <w:pPr>
        <w:ind w:left="720"/>
        <w:jc w:val="both"/>
        <w:rPr>
          <w:rFonts w:ascii="Arial" w:hAnsi="Arial" w:cs="Arial"/>
        </w:rPr>
      </w:pPr>
    </w:p>
    <w:p w:rsidR="00F87902" w:rsidRDefault="00A519F9">
      <w:pPr>
        <w:ind w:left="720"/>
        <w:jc w:val="both"/>
        <w:rPr>
          <w:b/>
          <w:sz w:val="28"/>
          <w:u w:val="single"/>
        </w:rPr>
      </w:pPr>
      <w:r>
        <w:br w:type="page"/>
      </w:r>
    </w:p>
    <w:p w:rsidR="00F87902" w:rsidRDefault="00A519F9">
      <w:pPr>
        <w:ind w:left="720"/>
        <w:jc w:val="both"/>
      </w:pPr>
      <w:r>
        <w:rPr>
          <w:b/>
          <w:sz w:val="28"/>
          <w:u w:val="single"/>
        </w:rPr>
        <w:lastRenderedPageBreak/>
        <w:t>Síntesis de resultados.</w:t>
      </w:r>
    </w:p>
    <w:p w:rsidR="00F87902" w:rsidRDefault="00A519F9">
      <w:pPr>
        <w:ind w:left="708"/>
        <w:jc w:val="both"/>
        <w:rPr>
          <w:rFonts w:ascii="Arial" w:hAnsi="Arial" w:cs="Arial"/>
          <w:color w:val="0070C0"/>
        </w:rPr>
      </w:pPr>
      <w:r>
        <w:rPr>
          <w:rFonts w:ascii="Arial" w:hAnsi="Arial" w:cs="Arial"/>
        </w:rPr>
        <w:t xml:space="preserve">El cumplimiento del </w:t>
      </w:r>
      <w:r>
        <w:rPr>
          <w:rFonts w:ascii="Arial" w:hAnsi="Arial" w:cs="Arial"/>
          <w:b/>
        </w:rPr>
        <w:t>97,3%</w:t>
      </w:r>
      <w:r>
        <w:rPr>
          <w:rFonts w:ascii="Arial" w:hAnsi="Arial" w:cs="Arial"/>
        </w:rPr>
        <w:t xml:space="preserve"> que se reporta puede plasmarse mediante el desarrollo de actividades como productos y servicios de comunicación interna y externa, ediciones de periódico </w:t>
      </w:r>
      <w:r>
        <w:rPr>
          <w:rFonts w:ascii="Arial" w:hAnsi="Arial" w:cs="Arial"/>
          <w:i/>
        </w:rPr>
        <w:t>Campus</w:t>
      </w:r>
      <w:r>
        <w:rPr>
          <w:rFonts w:ascii="Arial" w:hAnsi="Arial" w:cs="Arial"/>
        </w:rPr>
        <w:t xml:space="preserve">, ediciones del programa radiofónico Visión Crítica,  boletines de prensa, piezas diseñadas de comunicación, propuestas de instrumentos de cooperación tramitadas, informe sobre evaluación de instrumentos de cooperación, investigaciones conjuntas UNA con universidades extranjeras, catálogo de proyectos digital, proyectos de vínculo externo depurados y clasificados, etc., que en su conjunto suman 750. </w:t>
      </w:r>
    </w:p>
    <w:p w:rsidR="00F87902" w:rsidRDefault="00F87902">
      <w:pPr>
        <w:ind w:left="708"/>
        <w:jc w:val="both"/>
        <w:rPr>
          <w:b/>
          <w:sz w:val="28"/>
          <w:u w:val="single"/>
        </w:rPr>
      </w:pPr>
    </w:p>
    <w:p w:rsidR="00F87902" w:rsidRDefault="00A519F9">
      <w:pPr>
        <w:ind w:left="708"/>
        <w:jc w:val="both"/>
        <w:rPr>
          <w:b/>
          <w:bCs/>
          <w:sz w:val="28"/>
          <w:szCs w:val="28"/>
        </w:rPr>
      </w:pPr>
      <w:r>
        <w:rPr>
          <w:b/>
          <w:sz w:val="28"/>
          <w:u w:val="single"/>
        </w:rPr>
        <w:t>Ejecución presupuestaria.</w:t>
      </w:r>
      <w:r>
        <w:rPr>
          <w:b/>
          <w:bCs/>
          <w:i/>
          <w:sz w:val="28"/>
          <w:szCs w:val="28"/>
        </w:rPr>
        <w:t>94,7%</w:t>
      </w:r>
    </w:p>
    <w:p w:rsidR="00F87902" w:rsidRDefault="00F87902">
      <w:pPr>
        <w:ind w:left="708"/>
        <w:jc w:val="both"/>
        <w:rPr>
          <w:b/>
          <w:bCs/>
          <w:sz w:val="28"/>
          <w:szCs w:val="28"/>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1.4.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1.501</w:t>
      </w:r>
      <w:r>
        <w:rPr>
          <w:rFonts w:ascii="Arial" w:hAnsi="Arial" w:cs="Arial"/>
        </w:rPr>
        <w:t xml:space="preserve"> estudios y trámites en materia judicial y de contraloría (21 estudios en el ámbito de  la Contraloría Universitaria y 1.480 trámites en materia judicial).</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20"/>
        <w:jc w:val="both"/>
        <w:rPr>
          <w:rFonts w:ascii="Arial" w:hAnsi="Arial" w:cs="Arial"/>
        </w:rPr>
      </w:pPr>
      <w:r>
        <w:rPr>
          <w:rFonts w:ascii="Arial" w:hAnsi="Arial" w:cs="Arial"/>
        </w:rPr>
        <w:t xml:space="preserve">El cumplimiento del </w:t>
      </w:r>
      <w:r>
        <w:rPr>
          <w:rFonts w:ascii="Arial" w:hAnsi="Arial" w:cs="Arial"/>
          <w:b/>
        </w:rPr>
        <w:t>100%</w:t>
      </w:r>
      <w:r>
        <w:rPr>
          <w:rFonts w:ascii="Arial" w:hAnsi="Arial" w:cs="Arial"/>
        </w:rPr>
        <w:t xml:space="preserve"> se basa en el desarrollo de 1.784 actividades como procesos judiciales atendidos, gestiones de contratación administrativa atendidas, estudios con enfoque académico, paraacadémico, entre otros, realizados, estudios de auditoría o especiales, etc.</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91,6%</w:t>
      </w:r>
    </w:p>
    <w:p w:rsidR="00F87902" w:rsidRDefault="00F87902">
      <w:pPr>
        <w:ind w:left="708"/>
        <w:jc w:val="both"/>
        <w:rPr>
          <w:b/>
          <w:bCs/>
          <w:sz w:val="28"/>
          <w:szCs w:val="28"/>
        </w:rPr>
      </w:pPr>
    </w:p>
    <w:p w:rsidR="00F87902" w:rsidRDefault="00F87902">
      <w:pPr>
        <w:jc w:val="both"/>
        <w:rPr>
          <w:rFonts w:ascii="Arial" w:hAnsi="Arial" w:cs="Arial"/>
        </w:rPr>
      </w:pPr>
    </w:p>
    <w:p w:rsidR="00F87902" w:rsidRDefault="00F87902">
      <w:pPr>
        <w:jc w:val="both"/>
        <w:rPr>
          <w:b/>
          <w:sz w:val="28"/>
          <w:u w:val="single"/>
        </w:rPr>
      </w:pPr>
    </w:p>
    <w:p w:rsidR="00F87902" w:rsidRDefault="00A519F9">
      <w:pPr>
        <w:jc w:val="both"/>
        <w:rPr>
          <w:b/>
          <w:sz w:val="28"/>
          <w:u w:val="single"/>
        </w:rPr>
      </w:pPr>
      <w:r>
        <w:rPr>
          <w:b/>
          <w:sz w:val="28"/>
          <w:u w:val="single"/>
        </w:rPr>
        <w:t xml:space="preserve">Objetivo 2. </w:t>
      </w:r>
    </w:p>
    <w:p w:rsidR="00F87902" w:rsidRDefault="00A519F9">
      <w:pPr>
        <w:jc w:val="both"/>
        <w:rPr>
          <w:rFonts w:ascii="Arial" w:hAnsi="Arial" w:cs="Arial"/>
        </w:rPr>
      </w:pPr>
      <w:r>
        <w:rPr>
          <w:rFonts w:ascii="Arial" w:hAnsi="Arial" w:cs="Arial"/>
        </w:rPr>
        <w:t>Propiciar la mejora en los servicios de apoyo administrativos para garantizar el quehacer sustantivo universitario.</w:t>
      </w: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2.1.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55</w:t>
      </w:r>
      <w:r>
        <w:rPr>
          <w:rFonts w:ascii="Arial" w:hAnsi="Arial" w:cs="Arial"/>
        </w:rPr>
        <w:t xml:space="preserve">  solicitudes de servicios generales (seguridad, transportes, archivo, proveeduría, correos) en la Universidad.</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 xml:space="preserve">Síntesis de resultados.  </w:t>
      </w:r>
    </w:p>
    <w:p w:rsidR="00F87902" w:rsidRDefault="00A519F9">
      <w:pPr>
        <w:ind w:left="708"/>
        <w:jc w:val="both"/>
        <w:rPr>
          <w:rFonts w:ascii="Arial" w:hAnsi="Arial" w:cs="Arial"/>
        </w:rPr>
      </w:pPr>
      <w:r>
        <w:rPr>
          <w:rFonts w:ascii="Arial" w:hAnsi="Arial" w:cs="Arial"/>
        </w:rPr>
        <w:t xml:space="preserve">El cumplimiento ha sido de aproximadamente un </w:t>
      </w:r>
      <w:r>
        <w:rPr>
          <w:rFonts w:ascii="Arial" w:hAnsi="Arial" w:cs="Arial"/>
          <w:b/>
        </w:rPr>
        <w:t>84%</w:t>
      </w:r>
      <w:r>
        <w:rPr>
          <w:rFonts w:ascii="Arial" w:hAnsi="Arial" w:cs="Arial"/>
        </w:rPr>
        <w:t xml:space="preserve">, mediante el desarrollo de actividades (46) como desarrollo de un mecanismo que facilite la normalización de requerimientos de bienes y servicios, comunicación de sedes regionales y estaciones con el centro de monitoreo, instructivos para regular las actividades del proceso de administrador de contrato, diagnósticos archivísticos, propuesta de mejora del proceso de adquisición de materiales para mantenimiento de infraestructura en sedes regionales, etc. </w:t>
      </w:r>
    </w:p>
    <w:p w:rsidR="00F87902" w:rsidRDefault="00F87902">
      <w:pPr>
        <w:ind w:left="708"/>
        <w:jc w:val="both"/>
        <w:rPr>
          <w:rFonts w:ascii="Arial" w:hAnsi="Arial" w:cs="Arial"/>
        </w:rPr>
      </w:pPr>
    </w:p>
    <w:p w:rsidR="00F87902" w:rsidRDefault="00A519F9">
      <w:pPr>
        <w:ind w:left="708"/>
        <w:jc w:val="both"/>
        <w:rPr>
          <w:b/>
          <w:bCs/>
          <w:sz w:val="28"/>
          <w:szCs w:val="28"/>
        </w:rPr>
      </w:pPr>
      <w:r>
        <w:rPr>
          <w:b/>
          <w:sz w:val="28"/>
          <w:u w:val="single"/>
        </w:rPr>
        <w:lastRenderedPageBreak/>
        <w:t>Ejecución presupuestaria.</w:t>
      </w:r>
      <w:r>
        <w:rPr>
          <w:b/>
          <w:bCs/>
          <w:i/>
          <w:sz w:val="28"/>
          <w:szCs w:val="28"/>
        </w:rPr>
        <w:t>92,5%</w:t>
      </w:r>
    </w:p>
    <w:p w:rsidR="00F87902" w:rsidRDefault="00F87902">
      <w:pPr>
        <w:ind w:left="708"/>
        <w:jc w:val="both"/>
        <w:rPr>
          <w:b/>
          <w:sz w:val="28"/>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2.2.      </w:t>
      </w:r>
    </w:p>
    <w:p w:rsidR="00F87902" w:rsidRDefault="00A519F9">
      <w:pPr>
        <w:ind w:left="720"/>
        <w:jc w:val="both"/>
      </w:pPr>
      <w:r>
        <w:rPr>
          <w:rFonts w:ascii="Arial" w:hAnsi="Arial" w:cs="Arial"/>
        </w:rPr>
        <w:t xml:space="preserve">Ejecutar </w:t>
      </w:r>
      <w:r>
        <w:rPr>
          <w:rFonts w:ascii="Arial" w:hAnsi="Arial" w:cs="Arial"/>
          <w:b/>
        </w:rPr>
        <w:t>25</w:t>
      </w:r>
      <w:r>
        <w:rPr>
          <w:rFonts w:ascii="Arial" w:hAnsi="Arial" w:cs="Arial"/>
        </w:rPr>
        <w:t xml:space="preserve"> actividades en materia de gestión de la infraestructura institucional.</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 xml:space="preserve">Síntesis de resultados.   </w:t>
      </w:r>
    </w:p>
    <w:p w:rsidR="00F87902" w:rsidRDefault="00A519F9">
      <w:pPr>
        <w:ind w:left="708"/>
        <w:jc w:val="both"/>
        <w:rPr>
          <w:rFonts w:ascii="Arial" w:hAnsi="Arial" w:cs="Arial"/>
        </w:rPr>
      </w:pPr>
      <w:r>
        <w:rPr>
          <w:rFonts w:ascii="Arial" w:hAnsi="Arial" w:cs="Arial"/>
        </w:rPr>
        <w:t xml:space="preserve">Las actividades desarrolladas (25) conllevan un cumplimiento del </w:t>
      </w:r>
      <w:r>
        <w:rPr>
          <w:rFonts w:ascii="Arial" w:hAnsi="Arial" w:cs="Arial"/>
          <w:b/>
        </w:rPr>
        <w:t>100%</w:t>
      </w:r>
      <w:r>
        <w:rPr>
          <w:rFonts w:ascii="Arial" w:hAnsi="Arial" w:cs="Arial"/>
        </w:rPr>
        <w:t xml:space="preserve">, y algunas de ellas son de la naturaleza que se describe: diseños de proyectos para su construcción y administración en el marco del PMI, avance en dotación a algunas sedes de la lista de materiales y equipos necesarios para su desempeño, etc. </w:t>
      </w:r>
    </w:p>
    <w:p w:rsidR="00F87902" w:rsidRDefault="00F87902">
      <w:pPr>
        <w:ind w:left="708"/>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70,9%</w:t>
      </w:r>
    </w:p>
    <w:p w:rsidR="00F87902" w:rsidRDefault="00F87902">
      <w:pPr>
        <w:ind w:left="708"/>
        <w:jc w:val="both"/>
        <w:rPr>
          <w:b/>
          <w:bCs/>
          <w:sz w:val="28"/>
          <w:szCs w:val="28"/>
        </w:rPr>
      </w:pPr>
    </w:p>
    <w:p w:rsidR="00F87902" w:rsidRDefault="00A519F9" w:rsidP="00E36019">
      <w:pPr>
        <w:pStyle w:val="Prrafodelista"/>
        <w:ind w:left="1416"/>
        <w:rPr>
          <w:rFonts w:ascii="Arial" w:hAnsi="Arial" w:cs="Arial"/>
          <w:i/>
          <w:sz w:val="22"/>
          <w:szCs w:val="22"/>
        </w:rPr>
      </w:pPr>
      <w:r>
        <w:rPr>
          <w:rFonts w:ascii="Arial" w:hAnsi="Arial" w:cs="Arial"/>
          <w:i/>
          <w:sz w:val="22"/>
          <w:szCs w:val="22"/>
        </w:rPr>
        <w:t>La baja ejecución en esta meta se deriva de la existencia de recursos destinados a dar mantenimiento a la infraestructura institucional tanto en el área civil como en la electromecánica, los cuales generaron compromisos por más de 740 millones de colones. Si se sumaran los recursos comprometidos la ejecución alcanzaría cerca del 96%.</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Brindar seguimiento a recursos asignados al mantenimiento de la infraestructura institucional para garantizar la ejecución de las compras y los contratos, según los cronogramas definidos institucionalmente.</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i/>
        </w:rPr>
        <w:t>Prodemi</w:t>
      </w:r>
      <w:r>
        <w:rPr>
          <w:rFonts w:ascii="Arial" w:hAnsi="Arial" w:cs="Arial"/>
        </w:rPr>
        <w:t>, Vicerrectoría de Administración.</w:t>
      </w:r>
    </w:p>
    <w:p w:rsidR="00F87902" w:rsidRDefault="00F87902">
      <w:pPr>
        <w:ind w:left="708"/>
        <w:jc w:val="both"/>
        <w:rPr>
          <w:b/>
          <w:sz w:val="28"/>
        </w:rPr>
      </w:pPr>
    </w:p>
    <w:p w:rsidR="00F87902" w:rsidRDefault="00F87902">
      <w:pPr>
        <w:ind w:left="708"/>
        <w:jc w:val="both"/>
        <w:rPr>
          <w:b/>
          <w:sz w:val="28"/>
        </w:rPr>
      </w:pPr>
    </w:p>
    <w:p w:rsidR="00F87902" w:rsidRDefault="00A519F9">
      <w:pPr>
        <w:ind w:left="720"/>
        <w:jc w:val="both"/>
        <w:rPr>
          <w:b/>
          <w:sz w:val="28"/>
          <w:u w:val="single"/>
        </w:rPr>
      </w:pPr>
      <w:r>
        <w:rPr>
          <w:b/>
          <w:sz w:val="28"/>
          <w:u w:val="single"/>
        </w:rPr>
        <w:t xml:space="preserve">Meta 2.3. </w:t>
      </w:r>
    </w:p>
    <w:p w:rsidR="00F87902" w:rsidRDefault="00A519F9">
      <w:pPr>
        <w:ind w:left="720"/>
        <w:jc w:val="both"/>
        <w:rPr>
          <w:rFonts w:ascii="Arial" w:hAnsi="Arial" w:cs="Arial"/>
        </w:rPr>
      </w:pPr>
      <w:r>
        <w:rPr>
          <w:rFonts w:ascii="Arial" w:hAnsi="Arial" w:cs="Arial"/>
        </w:rPr>
        <w:t xml:space="preserve">Atender </w:t>
      </w:r>
      <w:r>
        <w:rPr>
          <w:rFonts w:ascii="Arial" w:hAnsi="Arial" w:cs="Arial"/>
          <w:b/>
        </w:rPr>
        <w:t>68</w:t>
      </w:r>
      <w:r>
        <w:rPr>
          <w:rFonts w:ascii="Arial" w:hAnsi="Arial" w:cs="Arial"/>
        </w:rPr>
        <w:t xml:space="preserve"> solicitudes de servicios en el ámbito de tecnologías de información y comunicación.</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color w:val="0070C0"/>
        </w:rPr>
      </w:pPr>
      <w:r>
        <w:rPr>
          <w:rFonts w:ascii="Arial" w:hAnsi="Arial" w:cs="Arial"/>
        </w:rPr>
        <w:t xml:space="preserve">El cumplimiento es del </w:t>
      </w:r>
      <w:r>
        <w:rPr>
          <w:rFonts w:ascii="Arial" w:hAnsi="Arial" w:cs="Arial"/>
          <w:b/>
        </w:rPr>
        <w:t>100%</w:t>
      </w:r>
      <w:r>
        <w:rPr>
          <w:rFonts w:ascii="Arial" w:hAnsi="Arial" w:cs="Arial"/>
        </w:rPr>
        <w:t xml:space="preserve">, según el número de solicitudes atendidas (115). Tales solicitudes comprenden los siguientes tipos: sitios </w:t>
      </w:r>
      <w:r>
        <w:rPr>
          <w:rFonts w:ascii="Arial" w:hAnsi="Arial" w:cs="Arial"/>
          <w:i/>
        </w:rPr>
        <w:t xml:space="preserve">web </w:t>
      </w:r>
      <w:r>
        <w:rPr>
          <w:rFonts w:ascii="Arial" w:hAnsi="Arial" w:cs="Arial"/>
        </w:rPr>
        <w:t xml:space="preserve">institucionales creados, acciones en el ámbito de las mejoras al sistema </w:t>
      </w:r>
      <w:r>
        <w:rPr>
          <w:rFonts w:ascii="Arial" w:hAnsi="Arial" w:cs="Arial"/>
          <w:i/>
        </w:rPr>
        <w:t>Sibeuna</w:t>
      </w:r>
      <w:r>
        <w:rPr>
          <w:rFonts w:ascii="Arial" w:hAnsi="Arial" w:cs="Arial"/>
        </w:rPr>
        <w:t xml:space="preserve">, acciones en el contexto de desarrollo de módulos en </w:t>
      </w:r>
      <w:r>
        <w:rPr>
          <w:rFonts w:ascii="Arial" w:hAnsi="Arial" w:cs="Arial"/>
          <w:i/>
        </w:rPr>
        <w:t>Sigesa</w:t>
      </w:r>
      <w:r>
        <w:rPr>
          <w:rFonts w:ascii="Arial" w:hAnsi="Arial" w:cs="Arial"/>
        </w:rPr>
        <w:t xml:space="preserve">, teléfonos IP instalados, servicios de correo estudiantil, etc. </w:t>
      </w:r>
    </w:p>
    <w:p w:rsidR="00F87902" w:rsidRDefault="00F87902">
      <w:pPr>
        <w:ind w:left="720"/>
        <w:jc w:val="both"/>
        <w:rPr>
          <w:rFonts w:ascii="Arial" w:hAnsi="Arial" w:cs="Arial"/>
        </w:rPr>
      </w:pPr>
    </w:p>
    <w:p w:rsidR="00F87902" w:rsidRDefault="00A519F9">
      <w:pPr>
        <w:ind w:left="708"/>
        <w:jc w:val="both"/>
        <w:rPr>
          <w:b/>
          <w:sz w:val="28"/>
          <w:u w:val="single"/>
        </w:rPr>
      </w:pPr>
      <w:r>
        <w:br w:type="page"/>
      </w:r>
    </w:p>
    <w:p w:rsidR="00F87902" w:rsidRDefault="00A519F9">
      <w:pPr>
        <w:ind w:left="708"/>
        <w:jc w:val="both"/>
      </w:pPr>
      <w:r>
        <w:rPr>
          <w:b/>
          <w:sz w:val="28"/>
          <w:u w:val="single"/>
        </w:rPr>
        <w:lastRenderedPageBreak/>
        <w:t>Ejecución presupuestaria.</w:t>
      </w:r>
      <w:r>
        <w:rPr>
          <w:b/>
          <w:bCs/>
          <w:i/>
          <w:sz w:val="28"/>
          <w:szCs w:val="28"/>
        </w:rPr>
        <w:t>72,7%</w:t>
      </w:r>
    </w:p>
    <w:p w:rsidR="00F87902" w:rsidRDefault="00F87902">
      <w:pPr>
        <w:ind w:left="708"/>
        <w:jc w:val="both"/>
        <w:rPr>
          <w:b/>
          <w:bCs/>
          <w:sz w:val="28"/>
          <w:szCs w:val="28"/>
        </w:rPr>
      </w:pPr>
    </w:p>
    <w:p w:rsidR="00F87902" w:rsidRDefault="00A519F9">
      <w:pPr>
        <w:pStyle w:val="Prrafodelista"/>
        <w:rPr>
          <w:rFonts w:ascii="Arial" w:hAnsi="Arial" w:cs="Arial"/>
          <w:i/>
          <w:sz w:val="22"/>
          <w:szCs w:val="22"/>
        </w:rPr>
      </w:pPr>
      <w:r>
        <w:rPr>
          <w:rFonts w:ascii="Arial" w:hAnsi="Arial" w:cs="Arial"/>
          <w:i/>
          <w:sz w:val="22"/>
          <w:szCs w:val="22"/>
        </w:rPr>
        <w:t>La baja ejecución en esta meta se origina en la presencia de recursos destinados a la compra y el mantenimiento del equipo informático institucional (redes, servidores, entre otros), así como al pago de licencias de software; los cuales son administrados por la Dirección de Tecnologías de Información y Comunicación, y que de adicionar sus compromisos generados por 728 millones de colones, se alcanzaría un 95% de ejecución.</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al proceso de compra de equipo y pago de licencias para que se ejecuten de acuerdo con los cronogramas establecidos.</w:t>
      </w: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rPr>
        <w:t>Dirección de Tecnologías de Información y Comunicación, Rectoría.</w:t>
      </w:r>
    </w:p>
    <w:p w:rsidR="00F87902" w:rsidRDefault="00F87902">
      <w:pPr>
        <w:jc w:val="both"/>
        <w:rPr>
          <w:b/>
          <w:sz w:val="28"/>
          <w:u w:val="single"/>
        </w:rPr>
      </w:pPr>
    </w:p>
    <w:p w:rsidR="00E36019" w:rsidRDefault="00E36019">
      <w:pPr>
        <w:jc w:val="both"/>
        <w:rPr>
          <w:b/>
          <w:sz w:val="28"/>
          <w:u w:val="single"/>
        </w:rPr>
      </w:pPr>
    </w:p>
    <w:p w:rsidR="00F87902" w:rsidRDefault="00A519F9">
      <w:pPr>
        <w:jc w:val="both"/>
        <w:rPr>
          <w:b/>
          <w:sz w:val="28"/>
          <w:u w:val="single"/>
        </w:rPr>
      </w:pPr>
      <w:r>
        <w:rPr>
          <w:b/>
          <w:sz w:val="28"/>
          <w:u w:val="single"/>
        </w:rPr>
        <w:t xml:space="preserve">Objetivo 3. </w:t>
      </w:r>
    </w:p>
    <w:p w:rsidR="00F87902" w:rsidRDefault="00A519F9">
      <w:pPr>
        <w:jc w:val="both"/>
        <w:rPr>
          <w:rFonts w:ascii="Arial" w:hAnsi="Arial" w:cs="Arial"/>
        </w:rPr>
      </w:pPr>
      <w:r>
        <w:rPr>
          <w:rFonts w:ascii="Arial" w:hAnsi="Arial" w:cs="Arial"/>
        </w:rPr>
        <w:t>Desarrollar una estrategia institucional para la planificación del talento humano y el fomento de competencias que propicien la estabilidad laboral en el ámbito administrativo y paraacadémico.</w:t>
      </w:r>
    </w:p>
    <w:p w:rsidR="00F87902" w:rsidRDefault="00F87902">
      <w:pPr>
        <w:jc w:val="both"/>
        <w:rPr>
          <w:rFonts w:ascii="Arial" w:hAnsi="Arial" w:cs="Arial"/>
        </w:rPr>
      </w:pPr>
    </w:p>
    <w:p w:rsidR="00F87902" w:rsidRDefault="00A519F9">
      <w:pPr>
        <w:ind w:left="720"/>
        <w:jc w:val="both"/>
        <w:rPr>
          <w:b/>
          <w:sz w:val="28"/>
          <w:u w:val="single"/>
        </w:rPr>
      </w:pPr>
      <w:r>
        <w:rPr>
          <w:b/>
          <w:sz w:val="28"/>
          <w:u w:val="single"/>
        </w:rPr>
        <w:t xml:space="preserve">Meta 3.1.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 xml:space="preserve">59 </w:t>
      </w:r>
      <w:r>
        <w:rPr>
          <w:rFonts w:ascii="Arial" w:hAnsi="Arial" w:cs="Arial"/>
        </w:rPr>
        <w:t xml:space="preserve">actividades del Programa Desarrollo de Recursos Humanos que propicien la gestión eficiente del talento humano en los sectores administrativo y paraacadémico. </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rPr>
      </w:pPr>
      <w:r>
        <w:rPr>
          <w:rFonts w:ascii="Arial" w:hAnsi="Arial" w:cs="Arial"/>
        </w:rPr>
        <w:t xml:space="preserve">El cumplimiento ha sido de un </w:t>
      </w:r>
      <w:r>
        <w:rPr>
          <w:rFonts w:ascii="Arial" w:hAnsi="Arial" w:cs="Arial"/>
          <w:b/>
        </w:rPr>
        <w:t>81%</w:t>
      </w:r>
      <w:r>
        <w:rPr>
          <w:rFonts w:ascii="Arial" w:hAnsi="Arial" w:cs="Arial"/>
        </w:rPr>
        <w:t>, mediante el desarrollo de actividades (48) como las siguientes: informes de procesos de implementación y de avance en estudio de reorganización, plan de inducción, plan de desarrollo por funcionario, puestos de trabajo con equipos de protección personal definidos, actualización de propuesta de planes de salud ocupacional y de la correspondiente al abordaje de clima laboral, etcétera.</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79,2%</w:t>
      </w:r>
    </w:p>
    <w:p w:rsidR="00F87902" w:rsidRDefault="00F87902">
      <w:pPr>
        <w:ind w:left="708"/>
        <w:jc w:val="both"/>
        <w:rPr>
          <w:b/>
          <w:bCs/>
          <w:sz w:val="28"/>
          <w:szCs w:val="28"/>
        </w:rPr>
      </w:pPr>
    </w:p>
    <w:p w:rsidR="00F87902" w:rsidRDefault="00A519F9" w:rsidP="00E36019">
      <w:pPr>
        <w:pStyle w:val="Prrafodelista"/>
        <w:ind w:left="1416"/>
        <w:rPr>
          <w:rFonts w:ascii="Arial" w:hAnsi="Arial" w:cs="Arial"/>
          <w:i/>
          <w:sz w:val="22"/>
          <w:szCs w:val="22"/>
        </w:rPr>
      </w:pPr>
      <w:r>
        <w:rPr>
          <w:rFonts w:ascii="Arial" w:hAnsi="Arial" w:cs="Arial"/>
          <w:i/>
          <w:sz w:val="22"/>
          <w:szCs w:val="22"/>
        </w:rPr>
        <w:t>La baja ejecución de los recursos asociados con esta meta se origina en la presencia de recursos destinados a la atención de necesidades institucionales que generaron compromisos por ejecutar durante el 2016. Tal es el caso de las actividades de capacitación y adiestramiento con 73 millones de colones comprometidos, y 185 millones en compromisos de los reservados para seguridad e higiene ocupaciones; los cuales, de adicionarse a la ejecución que se muestra, hacen que esta ascienda al 93%.</w:t>
      </w:r>
    </w:p>
    <w:p w:rsidR="00F87902" w:rsidRDefault="00A519F9">
      <w:pPr>
        <w:pStyle w:val="Prrafodelista"/>
        <w:rPr>
          <w:rFonts w:ascii="Arial" w:hAnsi="Arial" w:cs="Arial"/>
          <w:i/>
          <w:sz w:val="22"/>
          <w:szCs w:val="22"/>
        </w:rPr>
      </w:pPr>
      <w:r>
        <w:rPr>
          <w:rFonts w:ascii="Arial" w:hAnsi="Arial" w:cs="Arial"/>
          <w:i/>
          <w:sz w:val="22"/>
          <w:szCs w:val="22"/>
        </w:rPr>
        <w:t>.</w:t>
      </w:r>
    </w:p>
    <w:p w:rsidR="00F87902" w:rsidRDefault="00F87902">
      <w:pPr>
        <w:ind w:left="1068"/>
        <w:jc w:val="both"/>
        <w:rPr>
          <w:rFonts w:ascii="Arial" w:hAnsi="Arial" w:cs="Arial"/>
          <w:i/>
          <w:sz w:val="22"/>
          <w:szCs w:val="22"/>
        </w:rPr>
      </w:pPr>
    </w:p>
    <w:p w:rsidR="000855CC" w:rsidRDefault="000855CC">
      <w:pPr>
        <w:ind w:left="1416"/>
        <w:jc w:val="both"/>
        <w:rPr>
          <w:b/>
          <w:sz w:val="28"/>
          <w:u w:val="single"/>
        </w:rPr>
      </w:pPr>
    </w:p>
    <w:p w:rsidR="000855CC" w:rsidRDefault="000855CC">
      <w:pPr>
        <w:ind w:left="1416"/>
        <w:jc w:val="both"/>
        <w:rPr>
          <w:b/>
          <w:sz w:val="28"/>
          <w:u w:val="single"/>
        </w:rPr>
      </w:pPr>
    </w:p>
    <w:p w:rsidR="00F87902" w:rsidRDefault="00A519F9">
      <w:pPr>
        <w:ind w:left="1416"/>
        <w:jc w:val="both"/>
        <w:rPr>
          <w:b/>
          <w:sz w:val="28"/>
          <w:u w:val="single"/>
        </w:rPr>
      </w:pPr>
      <w:r>
        <w:rPr>
          <w:b/>
          <w:sz w:val="28"/>
          <w:u w:val="single"/>
        </w:rPr>
        <w:lastRenderedPageBreak/>
        <w:t>Posibles áreas de atención</w:t>
      </w:r>
    </w:p>
    <w:p w:rsidR="00F87902" w:rsidRDefault="00A519F9">
      <w:pPr>
        <w:ind w:left="1416"/>
        <w:jc w:val="both"/>
        <w:rPr>
          <w:rFonts w:ascii="Arial" w:hAnsi="Arial" w:cs="Arial"/>
        </w:rPr>
      </w:pPr>
      <w:r>
        <w:rPr>
          <w:rFonts w:ascii="Arial" w:hAnsi="Arial" w:cs="Arial"/>
        </w:rPr>
        <w:t>Dar seguimiento al proceso de compra y ejecución de contratos gestionados por el Programa Desarrollo de Recursos Humanos para que se ejecuten según los cronogramas establecidos.</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rPr>
        <w:t>Programa Desarrollo de Recursos Humanos, Vicerrectoría de Administración.</w:t>
      </w:r>
    </w:p>
    <w:p w:rsidR="00F87902" w:rsidRDefault="00F87902">
      <w:pPr>
        <w:ind w:left="708"/>
        <w:jc w:val="both"/>
        <w:rPr>
          <w:b/>
          <w:bCs/>
          <w:sz w:val="28"/>
          <w:szCs w:val="28"/>
        </w:rPr>
      </w:pPr>
    </w:p>
    <w:p w:rsidR="00E36019" w:rsidRDefault="00E36019">
      <w:pPr>
        <w:jc w:val="both"/>
        <w:rPr>
          <w:b/>
          <w:sz w:val="28"/>
          <w:u w:val="single"/>
        </w:rPr>
      </w:pPr>
    </w:p>
    <w:p w:rsidR="00F87902" w:rsidRDefault="00A519F9">
      <w:pPr>
        <w:jc w:val="both"/>
        <w:rPr>
          <w:b/>
          <w:sz w:val="28"/>
          <w:u w:val="single"/>
        </w:rPr>
      </w:pPr>
      <w:r>
        <w:rPr>
          <w:b/>
          <w:sz w:val="28"/>
          <w:u w:val="single"/>
        </w:rPr>
        <w:t xml:space="preserve">Objetivo 4. </w:t>
      </w:r>
    </w:p>
    <w:p w:rsidR="00F87902" w:rsidRDefault="00A519F9">
      <w:pPr>
        <w:jc w:val="both"/>
        <w:rPr>
          <w:rFonts w:ascii="Arial" w:hAnsi="Arial" w:cs="Arial"/>
        </w:rPr>
      </w:pPr>
      <w:r>
        <w:rPr>
          <w:rFonts w:ascii="Arial" w:hAnsi="Arial" w:cs="Arial"/>
        </w:rPr>
        <w:t>Modernizar las estructuras física y tecnológica de la institución de carácter estratégico, que permita desarrollar  el quehacer institucional.</w:t>
      </w:r>
    </w:p>
    <w:p w:rsidR="00F87902" w:rsidRDefault="00F87902">
      <w:pPr>
        <w:jc w:val="both"/>
        <w:rPr>
          <w:b/>
          <w:sz w:val="28"/>
          <w:u w:val="single"/>
        </w:rPr>
      </w:pPr>
    </w:p>
    <w:p w:rsidR="00F87902" w:rsidRDefault="00A519F9">
      <w:pPr>
        <w:ind w:left="720"/>
        <w:jc w:val="both"/>
        <w:rPr>
          <w:b/>
          <w:sz w:val="28"/>
          <w:u w:val="single"/>
        </w:rPr>
      </w:pPr>
      <w:r>
        <w:rPr>
          <w:b/>
          <w:sz w:val="28"/>
          <w:u w:val="single"/>
        </w:rPr>
        <w:t xml:space="preserve">Meta 4.1. </w:t>
      </w:r>
    </w:p>
    <w:p w:rsidR="00F87902" w:rsidRDefault="00A519F9">
      <w:pPr>
        <w:ind w:left="720"/>
        <w:jc w:val="both"/>
        <w:rPr>
          <w:rFonts w:ascii="Arial" w:hAnsi="Arial" w:cs="Arial"/>
        </w:rPr>
      </w:pPr>
      <w:r>
        <w:rPr>
          <w:rFonts w:ascii="Arial" w:hAnsi="Arial" w:cs="Arial"/>
        </w:rPr>
        <w:t xml:space="preserve">Ejecutar  </w:t>
      </w:r>
      <w:r>
        <w:rPr>
          <w:rFonts w:ascii="Arial" w:hAnsi="Arial" w:cs="Arial"/>
          <w:b/>
        </w:rPr>
        <w:t>6 actividades</w:t>
      </w:r>
      <w:r>
        <w:rPr>
          <w:rFonts w:ascii="Arial" w:hAnsi="Arial" w:cs="Arial"/>
        </w:rPr>
        <w:t xml:space="preserve"> de inversión para brindar las condiciones necesarias en el desarrollo de actividades de apoyo.</w:t>
      </w:r>
    </w:p>
    <w:p w:rsidR="00F87902" w:rsidRDefault="00F87902">
      <w:pPr>
        <w:ind w:left="720"/>
        <w:jc w:val="both"/>
        <w:rPr>
          <w:rFonts w:ascii="Arial" w:hAnsi="Arial" w:cs="Arial"/>
        </w:rPr>
      </w:pPr>
    </w:p>
    <w:p w:rsidR="00F87902" w:rsidRDefault="00A519F9">
      <w:pPr>
        <w:ind w:left="720"/>
        <w:jc w:val="both"/>
        <w:rPr>
          <w:b/>
          <w:sz w:val="28"/>
          <w:u w:val="single"/>
        </w:rPr>
      </w:pPr>
      <w:r>
        <w:rPr>
          <w:b/>
          <w:sz w:val="28"/>
          <w:u w:val="single"/>
        </w:rPr>
        <w:t>Síntesis de resultados.</w:t>
      </w:r>
    </w:p>
    <w:p w:rsidR="00F87902" w:rsidRDefault="00A519F9">
      <w:pPr>
        <w:ind w:left="708"/>
        <w:jc w:val="both"/>
        <w:rPr>
          <w:rFonts w:ascii="Arial" w:hAnsi="Arial" w:cs="Arial"/>
          <w:sz w:val="22"/>
          <w:szCs w:val="22"/>
        </w:rPr>
      </w:pPr>
      <w:r>
        <w:rPr>
          <w:rFonts w:ascii="Arial" w:hAnsi="Arial" w:cs="Arial"/>
          <w:sz w:val="22"/>
          <w:szCs w:val="22"/>
        </w:rPr>
        <w:t xml:space="preserve">El cumplimiento se estima en el </w:t>
      </w:r>
      <w:r>
        <w:rPr>
          <w:rFonts w:ascii="Arial" w:hAnsi="Arial" w:cs="Arial"/>
          <w:b/>
          <w:sz w:val="22"/>
          <w:szCs w:val="22"/>
        </w:rPr>
        <w:t>70%</w:t>
      </w:r>
      <w:r>
        <w:rPr>
          <w:rFonts w:ascii="Arial" w:hAnsi="Arial" w:cs="Arial"/>
          <w:sz w:val="22"/>
          <w:szCs w:val="22"/>
        </w:rPr>
        <w:t>, en vista de la ejecución</w:t>
      </w:r>
      <w:r w:rsidR="00F54C31">
        <w:rPr>
          <w:rFonts w:ascii="Arial" w:hAnsi="Arial" w:cs="Arial"/>
          <w:sz w:val="22"/>
          <w:szCs w:val="22"/>
        </w:rPr>
        <w:t xml:space="preserve"> (4 obras)</w:t>
      </w:r>
      <w:r>
        <w:rPr>
          <w:rFonts w:ascii="Arial" w:hAnsi="Arial" w:cs="Arial"/>
          <w:sz w:val="22"/>
          <w:szCs w:val="22"/>
        </w:rPr>
        <w:t xml:space="preserve">, de acuerdo con lo propuesto para el 2015, de lo concerniente a seguridad electrónica institucional, renovación de flotilla vehicular, puente sobre el río Pirro, y mejoras en el Edificio Administrativo. Buena parte de los recursos serán girados en el 2016. </w:t>
      </w:r>
    </w:p>
    <w:p w:rsidR="00F87902" w:rsidRDefault="00F87902">
      <w:pPr>
        <w:ind w:left="720"/>
        <w:jc w:val="both"/>
        <w:rPr>
          <w:rFonts w:ascii="Arial" w:hAnsi="Arial" w:cs="Arial"/>
        </w:rPr>
      </w:pPr>
    </w:p>
    <w:p w:rsidR="00F87902" w:rsidRDefault="00A519F9">
      <w:pPr>
        <w:ind w:left="720"/>
        <w:jc w:val="both"/>
        <w:rPr>
          <w:b/>
          <w:bCs/>
          <w:sz w:val="28"/>
          <w:szCs w:val="28"/>
        </w:rPr>
      </w:pPr>
      <w:r>
        <w:rPr>
          <w:b/>
          <w:sz w:val="28"/>
          <w:u w:val="single"/>
        </w:rPr>
        <w:t>Ejecución presupuestaria.</w:t>
      </w:r>
      <w:r>
        <w:rPr>
          <w:b/>
          <w:bCs/>
          <w:i/>
          <w:sz w:val="28"/>
          <w:szCs w:val="28"/>
        </w:rPr>
        <w:t>29,8%</w:t>
      </w:r>
    </w:p>
    <w:p w:rsidR="00F87902" w:rsidRDefault="00F87902">
      <w:pPr>
        <w:ind w:left="720"/>
        <w:jc w:val="both"/>
        <w:rPr>
          <w:b/>
          <w:sz w:val="28"/>
          <w:u w:val="single"/>
        </w:rPr>
      </w:pPr>
    </w:p>
    <w:p w:rsidR="00F87902" w:rsidRDefault="00A519F9">
      <w:pPr>
        <w:ind w:left="1068"/>
        <w:jc w:val="both"/>
        <w:rPr>
          <w:rFonts w:ascii="Arial" w:hAnsi="Arial" w:cs="Arial"/>
          <w:i/>
          <w:sz w:val="22"/>
          <w:szCs w:val="22"/>
        </w:rPr>
      </w:pPr>
      <w:r>
        <w:rPr>
          <w:rFonts w:ascii="Arial" w:hAnsi="Arial" w:cs="Arial"/>
          <w:i/>
          <w:sz w:val="22"/>
          <w:szCs w:val="22"/>
        </w:rPr>
        <w:t>La baja ejecución en esta meta se genera a partir de los procesos de licitación de obras de infraestructura, que por lo general superan el año de ejecución, y por tanto crean compromisos por concretarse en el siguiente año. De hecho, si en esta meta se suman los recursos comprometidos, la ejecución crece al 87%.</w:t>
      </w:r>
    </w:p>
    <w:p w:rsidR="00F87902" w:rsidRDefault="00F87902">
      <w:pPr>
        <w:ind w:left="1068"/>
        <w:jc w:val="both"/>
        <w:rPr>
          <w:rFonts w:ascii="Arial" w:hAnsi="Arial" w:cs="Arial"/>
          <w:i/>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 los cronogramas de ejecución de las obras para propiciar su oportuno desarrollo.</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sz w:val="22"/>
        </w:rPr>
      </w:pPr>
      <w:r>
        <w:rPr>
          <w:rFonts w:ascii="Arial" w:hAnsi="Arial" w:cs="Arial"/>
        </w:rPr>
        <w:t>Vicerrectoría de Administración (</w:t>
      </w:r>
      <w:r>
        <w:rPr>
          <w:rFonts w:ascii="Arial" w:hAnsi="Arial" w:cs="Arial"/>
          <w:i/>
        </w:rPr>
        <w:t>Prodemi</w:t>
      </w:r>
      <w:r>
        <w:rPr>
          <w:rFonts w:ascii="Arial" w:hAnsi="Arial" w:cs="Arial"/>
        </w:rPr>
        <w:t>, Proveeduría Institucional),  Rectoría.</w:t>
      </w:r>
    </w:p>
    <w:p w:rsidR="00F87902" w:rsidRDefault="00F87902">
      <w:pPr>
        <w:ind w:left="720"/>
        <w:jc w:val="both"/>
        <w:rPr>
          <w:b/>
          <w:sz w:val="28"/>
          <w:u w:val="single"/>
        </w:rPr>
      </w:pPr>
    </w:p>
    <w:p w:rsidR="00F87902" w:rsidRDefault="00F87902">
      <w:pPr>
        <w:ind w:left="720"/>
        <w:jc w:val="both"/>
        <w:rPr>
          <w:b/>
          <w:sz w:val="28"/>
          <w:u w:val="single"/>
        </w:rPr>
      </w:pPr>
    </w:p>
    <w:p w:rsidR="00F87902" w:rsidRDefault="00A519F9">
      <w:pPr>
        <w:ind w:left="720"/>
        <w:jc w:val="both"/>
        <w:rPr>
          <w:b/>
          <w:sz w:val="28"/>
          <w:u w:val="single"/>
        </w:rPr>
      </w:pPr>
      <w:r>
        <w:rPr>
          <w:b/>
          <w:sz w:val="28"/>
          <w:u w:val="single"/>
        </w:rPr>
        <w:t xml:space="preserve">Meta 4.2. </w:t>
      </w:r>
    </w:p>
    <w:p w:rsidR="00F87902" w:rsidRDefault="00A519F9">
      <w:pPr>
        <w:ind w:left="720"/>
        <w:jc w:val="both"/>
        <w:rPr>
          <w:rFonts w:ascii="Arial" w:hAnsi="Arial" w:cs="Arial"/>
        </w:rPr>
      </w:pPr>
      <w:r>
        <w:rPr>
          <w:rFonts w:ascii="Arial" w:hAnsi="Arial" w:cs="Arial"/>
        </w:rPr>
        <w:t>Actualizar y renovar el equipamiento institucional en un 85% de lo establecido para este concepto en el plan de inversiones institucional.</w:t>
      </w:r>
    </w:p>
    <w:p w:rsidR="00F87902" w:rsidRDefault="00F87902">
      <w:pPr>
        <w:ind w:left="720"/>
        <w:jc w:val="both"/>
        <w:rPr>
          <w:rFonts w:ascii="Arial" w:hAnsi="Arial" w:cs="Arial"/>
        </w:rPr>
      </w:pPr>
    </w:p>
    <w:p w:rsidR="000855CC" w:rsidRDefault="000855CC" w:rsidP="00F54C31">
      <w:pPr>
        <w:ind w:left="720"/>
        <w:jc w:val="both"/>
        <w:rPr>
          <w:b/>
          <w:sz w:val="28"/>
          <w:u w:val="single"/>
        </w:rPr>
      </w:pPr>
    </w:p>
    <w:p w:rsidR="00F54C31" w:rsidRPr="00F54C31" w:rsidRDefault="00A519F9" w:rsidP="00F54C31">
      <w:pPr>
        <w:ind w:left="720"/>
        <w:jc w:val="both"/>
        <w:rPr>
          <w:b/>
          <w:sz w:val="28"/>
          <w:u w:val="single"/>
        </w:rPr>
      </w:pPr>
      <w:r>
        <w:rPr>
          <w:b/>
          <w:sz w:val="28"/>
          <w:u w:val="single"/>
        </w:rPr>
        <w:lastRenderedPageBreak/>
        <w:t>Síntesis de resultados.</w:t>
      </w:r>
      <w:r w:rsidR="00F54C31" w:rsidRPr="00F54C31">
        <w:rPr>
          <w:rFonts w:ascii="Arial" w:hAnsi="Arial" w:cs="Arial"/>
          <w:color w:val="222222"/>
          <w:sz w:val="22"/>
          <w:szCs w:val="22"/>
          <w:lang w:eastAsia="es-CR"/>
        </w:rPr>
        <w:t>.</w:t>
      </w:r>
    </w:p>
    <w:p w:rsidR="00F87902" w:rsidRDefault="00A519F9">
      <w:pPr>
        <w:ind w:left="708"/>
        <w:jc w:val="both"/>
        <w:rPr>
          <w:rFonts w:ascii="Arial" w:hAnsi="Arial" w:cs="Arial"/>
          <w:i/>
          <w:sz w:val="22"/>
          <w:szCs w:val="22"/>
        </w:rPr>
      </w:pPr>
      <w:r>
        <w:rPr>
          <w:rFonts w:ascii="Arial" w:hAnsi="Arial" w:cs="Arial"/>
          <w:sz w:val="22"/>
          <w:szCs w:val="22"/>
        </w:rPr>
        <w:t>No obstante la ejecución presupuestaria de la meta, se renovó alrededor del 80% del equipamiento institucional</w:t>
      </w:r>
      <w:r w:rsidR="00F54C31">
        <w:rPr>
          <w:rFonts w:ascii="Arial" w:hAnsi="Arial" w:cs="Arial"/>
          <w:sz w:val="22"/>
          <w:szCs w:val="22"/>
        </w:rPr>
        <w:t xml:space="preserve"> (94,1% de cumplimiento)</w:t>
      </w:r>
      <w:r>
        <w:rPr>
          <w:rFonts w:ascii="Arial" w:hAnsi="Arial" w:cs="Arial"/>
          <w:sz w:val="22"/>
          <w:szCs w:val="22"/>
        </w:rPr>
        <w:t>, según lo establecido en el plan de inversiones. Existen compromisos de compras de equipo iniciadas en el 2015, aunque de acuerdo con los plazos no se concretó la entrega por parte del proveedor, lo cual se consolidará en el 2016.</w:t>
      </w:r>
    </w:p>
    <w:p w:rsidR="00F87902" w:rsidRDefault="00F87902">
      <w:pPr>
        <w:ind w:left="720"/>
        <w:jc w:val="both"/>
        <w:rPr>
          <w:rFonts w:ascii="Arial" w:hAnsi="Arial" w:cs="Arial"/>
        </w:rPr>
      </w:pPr>
    </w:p>
    <w:p w:rsidR="00F87902" w:rsidRDefault="00A519F9">
      <w:pPr>
        <w:ind w:left="708"/>
        <w:jc w:val="both"/>
        <w:rPr>
          <w:b/>
          <w:bCs/>
          <w:sz w:val="28"/>
          <w:szCs w:val="28"/>
        </w:rPr>
      </w:pPr>
      <w:r>
        <w:rPr>
          <w:b/>
          <w:sz w:val="28"/>
          <w:u w:val="single"/>
        </w:rPr>
        <w:t>Ejecución presupuestaria.</w:t>
      </w:r>
      <w:r>
        <w:rPr>
          <w:b/>
          <w:bCs/>
          <w:i/>
          <w:sz w:val="28"/>
          <w:szCs w:val="28"/>
        </w:rPr>
        <w:t>75,8%</w:t>
      </w:r>
    </w:p>
    <w:p w:rsidR="00F87902" w:rsidRDefault="00F87902">
      <w:pPr>
        <w:ind w:left="1068"/>
        <w:jc w:val="both"/>
        <w:rPr>
          <w:rFonts w:ascii="Arial" w:hAnsi="Arial" w:cs="Arial"/>
          <w:i/>
          <w:sz w:val="22"/>
          <w:szCs w:val="22"/>
        </w:rPr>
      </w:pPr>
    </w:p>
    <w:p w:rsidR="00F87902" w:rsidRDefault="00A519F9">
      <w:pPr>
        <w:ind w:left="708"/>
        <w:jc w:val="both"/>
        <w:rPr>
          <w:rFonts w:ascii="Arial" w:hAnsi="Arial" w:cs="Arial"/>
          <w:i/>
          <w:sz w:val="22"/>
          <w:szCs w:val="22"/>
        </w:rPr>
      </w:pPr>
      <w:r>
        <w:rPr>
          <w:rFonts w:ascii="Arial" w:hAnsi="Arial" w:cs="Arial"/>
          <w:i/>
          <w:sz w:val="22"/>
          <w:szCs w:val="22"/>
        </w:rPr>
        <w:t>La baja ejecución en la meta se deriva de los procesos de licitación para la compra de equipos, cuyos plazos generan compromisos por ejecutar en el año siguiente. Si dichos recursos se consideran, la ejecución asciende al 90%.</w:t>
      </w:r>
    </w:p>
    <w:p w:rsidR="00F87902" w:rsidRDefault="00F87902">
      <w:pPr>
        <w:ind w:left="1068"/>
        <w:jc w:val="both"/>
        <w:rPr>
          <w:rFonts w:ascii="Arial" w:hAnsi="Arial" w:cs="Arial"/>
          <w:i/>
          <w:color w:val="0070C0"/>
          <w:sz w:val="22"/>
          <w:szCs w:val="22"/>
        </w:rPr>
      </w:pPr>
    </w:p>
    <w:p w:rsidR="00F87902" w:rsidRDefault="00A519F9">
      <w:pPr>
        <w:ind w:left="1416"/>
        <w:jc w:val="both"/>
        <w:rPr>
          <w:b/>
          <w:sz w:val="28"/>
          <w:u w:val="single"/>
        </w:rPr>
      </w:pPr>
      <w:r>
        <w:rPr>
          <w:b/>
          <w:sz w:val="28"/>
          <w:u w:val="single"/>
        </w:rPr>
        <w:t>Posibles áreas de atención</w:t>
      </w:r>
    </w:p>
    <w:p w:rsidR="00F87902" w:rsidRDefault="00A519F9">
      <w:pPr>
        <w:ind w:left="1416"/>
        <w:jc w:val="both"/>
        <w:rPr>
          <w:rFonts w:ascii="Arial" w:hAnsi="Arial" w:cs="Arial"/>
        </w:rPr>
      </w:pPr>
      <w:r>
        <w:rPr>
          <w:rFonts w:ascii="Arial" w:hAnsi="Arial" w:cs="Arial"/>
        </w:rPr>
        <w:t>Dar seguimiento a los cronogramas de compras para garantizar la adecuada dotación de los equipos necesarios.</w:t>
      </w:r>
    </w:p>
    <w:p w:rsidR="00F87902" w:rsidRDefault="00F87902">
      <w:pPr>
        <w:ind w:left="1416"/>
        <w:jc w:val="both"/>
        <w:rPr>
          <w:b/>
          <w:sz w:val="28"/>
          <w:u w:val="single"/>
        </w:rPr>
      </w:pPr>
    </w:p>
    <w:p w:rsidR="00F87902" w:rsidRDefault="00A519F9">
      <w:pPr>
        <w:ind w:left="1416"/>
        <w:jc w:val="both"/>
        <w:rPr>
          <w:b/>
          <w:sz w:val="28"/>
          <w:u w:val="single"/>
        </w:rPr>
      </w:pPr>
      <w:r>
        <w:rPr>
          <w:b/>
          <w:sz w:val="28"/>
          <w:u w:val="single"/>
        </w:rPr>
        <w:t>Responsables</w:t>
      </w:r>
    </w:p>
    <w:p w:rsidR="00F87902" w:rsidRDefault="00A519F9">
      <w:pPr>
        <w:ind w:left="1418" w:hanging="2"/>
        <w:jc w:val="both"/>
        <w:rPr>
          <w:rFonts w:ascii="Arial" w:hAnsi="Arial" w:cs="Arial"/>
          <w:color w:val="0070C0"/>
          <w:sz w:val="22"/>
        </w:rPr>
      </w:pPr>
      <w:r>
        <w:rPr>
          <w:rFonts w:ascii="Arial" w:hAnsi="Arial" w:cs="Arial"/>
        </w:rPr>
        <w:t>Unidades ejecutoras, Proveeduría Institucional, Vicerrectoría de Administración.</w:t>
      </w:r>
      <w:r>
        <w:br w:type="page"/>
      </w:r>
    </w:p>
    <w:p w:rsidR="00F87902" w:rsidRDefault="00A519F9">
      <w:pPr>
        <w:pStyle w:val="Encabezado1"/>
        <w:spacing w:line="360" w:lineRule="auto"/>
        <w:rPr>
          <w:rFonts w:ascii="Arial" w:hAnsi="Arial" w:cs="Arial"/>
        </w:rPr>
      </w:pPr>
      <w:bookmarkStart w:id="25" w:name="_Toc348683618"/>
      <w:bookmarkEnd w:id="25"/>
      <w:r>
        <w:rPr>
          <w:rFonts w:ascii="Arial" w:hAnsi="Arial" w:cs="Arial"/>
        </w:rPr>
        <w:lastRenderedPageBreak/>
        <w:t>Metodología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 xml:space="preserve">El proceso de elaboración del Informe sobre el grado de cumplimiento de objetivos y metas del POAI 2015, con corte al 31 de diciembre, inició con la revisión de los instrumentos y los instructivos por parte del Área de Planificación Económica (Apeuna). Posteriormente, se colocaron estos documentos en la página </w:t>
      </w:r>
      <w:r>
        <w:rPr>
          <w:rFonts w:ascii="Arial" w:hAnsi="Arial" w:cs="Arial"/>
          <w:i/>
        </w:rPr>
        <w:t>web</w:t>
      </w:r>
      <w:r>
        <w:rPr>
          <w:rFonts w:ascii="Arial" w:hAnsi="Arial" w:cs="Arial"/>
        </w:rPr>
        <w:t xml:space="preserve"> de </w:t>
      </w:r>
      <w:r>
        <w:rPr>
          <w:rFonts w:ascii="Arial" w:hAnsi="Arial" w:cs="Arial"/>
          <w:i/>
        </w:rPr>
        <w:t>Apeuna</w:t>
      </w:r>
      <w:r>
        <w:rPr>
          <w:rFonts w:ascii="Arial" w:hAnsi="Arial" w:cs="Arial"/>
        </w:rPr>
        <w:t xml:space="preserve">, y mediante una circular se comunicó a las diferentes unidades sobre el inicio del proceso, la apertura del sistema automatizado, la ubicación de los instrumentos en la página </w:t>
      </w:r>
      <w:r>
        <w:rPr>
          <w:rFonts w:ascii="Arial" w:hAnsi="Arial" w:cs="Arial"/>
          <w:i/>
        </w:rPr>
        <w:t>web</w:t>
      </w:r>
      <w:r>
        <w:rPr>
          <w:rFonts w:ascii="Arial" w:hAnsi="Arial" w:cs="Arial"/>
        </w:rPr>
        <w:t xml:space="preserve"> y la fecha de entrega de los informes.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 xml:space="preserve">Para el informe con corte al 31 de diciembre del 2015 se utilizó el módulo  automatizado, desarrollado por el Centro de Gestión Informática (CGI), tanto para las unidades individuales como lo correspondiente a los documentos integrados en los ámbitos de Rectoría, vicerrectoría, facultad, centro y sede; como parte del </w:t>
      </w:r>
      <w:r>
        <w:rPr>
          <w:rFonts w:ascii="Arial" w:hAnsi="Arial" w:cs="Arial"/>
          <w:i/>
        </w:rPr>
        <w:t xml:space="preserve">Sistema Planificación Presupuesto Institucional, </w:t>
      </w:r>
      <w:r>
        <w:rPr>
          <w:rFonts w:ascii="Arial" w:hAnsi="Arial" w:cs="Arial"/>
        </w:rPr>
        <w:t xml:space="preserve">utilizado durante la etapa de formulación y en evaluaciones de periodos anteriores. Este formato estuvo a disposición de los usuarios en dirección suministrada con ese propósito, para cuyo acceso se utilizaría igualmente el mismo código proporcionado al efecto (Anexo 1).  </w:t>
      </w:r>
    </w:p>
    <w:p w:rsidR="00F87902" w:rsidRDefault="00F87902">
      <w:pPr>
        <w:spacing w:line="360" w:lineRule="auto"/>
        <w:jc w:val="both"/>
        <w:rPr>
          <w:rFonts w:ascii="Arial" w:hAnsi="Arial" w:cs="Arial"/>
          <w:b/>
        </w:rPr>
      </w:pPr>
    </w:p>
    <w:p w:rsidR="00F87902" w:rsidRDefault="00A519F9">
      <w:pPr>
        <w:spacing w:line="360" w:lineRule="auto"/>
        <w:jc w:val="both"/>
      </w:pPr>
      <w:r>
        <w:rPr>
          <w:rFonts w:ascii="Arial" w:hAnsi="Arial" w:cs="Arial"/>
        </w:rPr>
        <w:t xml:space="preserve">Posteriormente, mediante circular </w:t>
      </w:r>
      <w:r>
        <w:rPr>
          <w:rFonts w:ascii="Arial" w:hAnsi="Arial" w:cs="Arial"/>
          <w:i/>
        </w:rPr>
        <w:t>Apeuna</w:t>
      </w:r>
      <w:r>
        <w:rPr>
          <w:rFonts w:ascii="Arial" w:hAnsi="Arial" w:cs="Arial"/>
        </w:rPr>
        <w:t>-CICR-007-2015 del 26 de octubre del 2015</w:t>
      </w:r>
      <w:r>
        <w:rPr>
          <w:rStyle w:val="Ancladenotaalpie"/>
          <w:rFonts w:ascii="Arial" w:hAnsi="Arial" w:cs="Arial"/>
        </w:rPr>
        <w:footnoteReference w:id="2"/>
      </w:r>
      <w:r>
        <w:rPr>
          <w:rFonts w:ascii="Arial" w:hAnsi="Arial" w:cs="Arial"/>
        </w:rPr>
        <w:t>, se comunicó a las diferentes unidades el inicio del proceso, la referencia al uso del módulo desarrollado por el CGI, los instructivos de elaboración de los informes, y la fecha límite de remisión de estos al Área de Planificación.</w:t>
      </w:r>
    </w:p>
    <w:p w:rsidR="00F87902" w:rsidRDefault="00A519F9">
      <w:pPr>
        <w:spacing w:line="360" w:lineRule="auto"/>
        <w:jc w:val="both"/>
        <w:rPr>
          <w:rFonts w:ascii="Arial" w:hAnsi="Arial" w:cs="Arial"/>
          <w:b/>
        </w:rPr>
      </w:pPr>
      <w:r>
        <w:rPr>
          <w:rFonts w:ascii="Arial" w:hAnsi="Arial" w:cs="Arial"/>
          <w:b/>
        </w:rPr>
        <w:tab/>
      </w:r>
    </w:p>
    <w:p w:rsidR="00F87902" w:rsidRDefault="00A519F9">
      <w:pPr>
        <w:spacing w:line="360" w:lineRule="auto"/>
        <w:jc w:val="both"/>
        <w:rPr>
          <w:rFonts w:ascii="Arial" w:hAnsi="Arial" w:cs="Arial"/>
        </w:rPr>
      </w:pPr>
      <w:r>
        <w:rPr>
          <w:rFonts w:ascii="Arial" w:hAnsi="Arial" w:cs="Arial"/>
        </w:rPr>
        <w:t xml:space="preserve">Para este proceso las unidades ejecutoras (académicas, administrativas, paraacadémicas, órganos desconcentrados, órganos colegiados), tal como se indicó, utilizan los formularios incluidos en el módulo automatizado descrito.  En tal herramienta es posible seleccionar el programa presupuestario, y posteriormente las metas que fueron formuladas, para incluir en cada una de ellas su cumplimiento, en términos absolutos y porcentuales, según sea el grado de avance logrado; las actividades no planificadas (aquellas actividades que no </w:t>
      </w:r>
      <w:r>
        <w:rPr>
          <w:rFonts w:ascii="Arial" w:hAnsi="Arial" w:cs="Arial"/>
        </w:rPr>
        <w:lastRenderedPageBreak/>
        <w:t>estaban previstas dentro del proceso de formulación del POA – 2015, y que no se contemplaron en las dos  modificaciones anuales, pero que fue necesario realizar para atender requerimientos propios del quehacer de la unidad) y las razones para realizarlas; así como las observaciones en relación con limitantes, justificaciones o aclaraciones que se estime necesario agregar.</w:t>
      </w:r>
    </w:p>
    <w:p w:rsidR="00F87902" w:rsidRDefault="00F87902">
      <w:pPr>
        <w:spacing w:line="360" w:lineRule="auto"/>
        <w:jc w:val="both"/>
        <w:rPr>
          <w:rFonts w:ascii="Arial" w:hAnsi="Arial" w:cs="Arial"/>
        </w:rPr>
      </w:pPr>
    </w:p>
    <w:p w:rsidR="00F87902" w:rsidRDefault="00A519F9">
      <w:r>
        <w:rPr>
          <w:rFonts w:ascii="Arial" w:hAnsi="Arial" w:cs="Arial"/>
        </w:rPr>
        <w:t xml:space="preserve">La guía para incluir la información se ubicó en la dirección </w:t>
      </w:r>
      <w:hyperlink r:id="rId10">
        <w:r>
          <w:rPr>
            <w:rStyle w:val="EnlacedeInternet"/>
            <w:rFonts w:ascii="Arial" w:hAnsi="Arial" w:cs="Arial"/>
            <w:i/>
            <w:color w:val="00000A"/>
          </w:rPr>
          <w:t>http://www.apeuna.una.ac.cr</w:t>
        </w:r>
      </w:hyperlink>
      <w:r>
        <w:rPr>
          <w:rFonts w:ascii="Arial" w:hAnsi="Arial" w:cs="Arial"/>
          <w:i/>
        </w:rPr>
        <w:t xml:space="preserve">, </w:t>
      </w:r>
    </w:p>
    <w:p w:rsidR="00F87902" w:rsidRDefault="00F87902">
      <w:pPr>
        <w:rPr>
          <w:rFonts w:ascii="Arial" w:hAnsi="Arial" w:cs="Arial"/>
          <w:i/>
          <w:sz w:val="20"/>
          <w:szCs w:val="20"/>
          <w:lang w:val="es-CR" w:eastAsia="en-US"/>
        </w:rPr>
      </w:pPr>
    </w:p>
    <w:p w:rsidR="00F87902" w:rsidRDefault="00A519F9">
      <w:pPr>
        <w:spacing w:line="360" w:lineRule="auto"/>
        <w:jc w:val="both"/>
        <w:rPr>
          <w:rFonts w:ascii="Arial" w:hAnsi="Arial" w:cs="Arial"/>
        </w:rPr>
      </w:pPr>
      <w:r>
        <w:rPr>
          <w:rFonts w:ascii="Arial" w:hAnsi="Arial" w:cs="Arial"/>
          <w:i/>
          <w:lang w:val="es-CR"/>
        </w:rPr>
        <w:t>Sistemas y Manuales</w:t>
      </w:r>
      <w:r>
        <w:rPr>
          <w:rFonts w:ascii="Arial" w:hAnsi="Arial" w:cs="Arial"/>
          <w:lang w:val="es-CR"/>
        </w:rPr>
        <w:t xml:space="preserve">, </w:t>
      </w:r>
      <w:r>
        <w:rPr>
          <w:rFonts w:ascii="Arial" w:hAnsi="Arial" w:cs="Arial"/>
          <w:i/>
          <w:lang w:val="es-CR"/>
        </w:rPr>
        <w:t>Evaluación y control</w:t>
      </w:r>
      <w:r>
        <w:rPr>
          <w:rFonts w:ascii="Arial" w:hAnsi="Arial" w:cs="Arial"/>
          <w:lang w:val="es-CR"/>
        </w:rPr>
        <w:t xml:space="preserve">, </w:t>
      </w:r>
      <w:r>
        <w:rPr>
          <w:rFonts w:ascii="Arial" w:hAnsi="Arial" w:cs="Arial"/>
        </w:rPr>
        <w:t>para que los usuarios la pudieran acceder; asimismo, se atendieron consultas telefónicas y presenciales de los funcionarios encargados de ejecutar el proceso de evaluación, según fueron requeridas. En el caso de las facultades, los centros y las sedes se coordinó con los directores administrativos; en los demás casos con los directores de las unidades administrativas o paraacadémicas y los presidentes de los órganos desconcentrados.</w:t>
      </w: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Los informes del Grado de cumplimiento de objetivos y metas del POA-2015, con corte al 31 de diciembre, de las unidades, incluyen lo siguiente:</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Oficio con acuerdo de aprobación en su respectivo ámbito de competencia.</w:t>
      </w:r>
    </w:p>
    <w:p w:rsidR="00F87902" w:rsidRDefault="00A519F9">
      <w:pPr>
        <w:spacing w:line="360" w:lineRule="auto"/>
        <w:jc w:val="both"/>
        <w:rPr>
          <w:rFonts w:ascii="Arial" w:hAnsi="Arial" w:cs="Arial"/>
        </w:rPr>
      </w:pPr>
      <w:r>
        <w:rPr>
          <w:rFonts w:ascii="Arial" w:hAnsi="Arial" w:cs="Arial"/>
        </w:rPr>
        <w:t>Tabla de contenido (para facilitar la lectura del informe es importante que presente numeración consecutiva).</w:t>
      </w:r>
    </w:p>
    <w:p w:rsidR="00F87902" w:rsidRDefault="00A519F9">
      <w:pPr>
        <w:spacing w:line="360" w:lineRule="auto"/>
        <w:jc w:val="both"/>
        <w:rPr>
          <w:rFonts w:ascii="Arial" w:hAnsi="Arial" w:cs="Arial"/>
        </w:rPr>
      </w:pPr>
      <w:r>
        <w:rPr>
          <w:rFonts w:ascii="Arial" w:hAnsi="Arial" w:cs="Arial"/>
        </w:rPr>
        <w:t>Reporte generado del módulo automatizado que contiene:</w:t>
      </w:r>
    </w:p>
    <w:p w:rsidR="00F87902" w:rsidRDefault="00A519F9">
      <w:pPr>
        <w:numPr>
          <w:ilvl w:val="0"/>
          <w:numId w:val="7"/>
        </w:numPr>
        <w:spacing w:line="360" w:lineRule="auto"/>
        <w:jc w:val="both"/>
        <w:rPr>
          <w:rFonts w:ascii="Arial" w:hAnsi="Arial" w:cs="Arial"/>
        </w:rPr>
      </w:pPr>
      <w:r>
        <w:rPr>
          <w:rFonts w:ascii="Arial" w:hAnsi="Arial" w:cs="Arial"/>
        </w:rPr>
        <w:t>Información sobre grado de cumplimiento de los objetivos y las metas.</w:t>
      </w:r>
    </w:p>
    <w:p w:rsidR="00F87902" w:rsidRDefault="00A519F9">
      <w:pPr>
        <w:numPr>
          <w:ilvl w:val="0"/>
          <w:numId w:val="7"/>
        </w:numPr>
        <w:spacing w:line="360" w:lineRule="auto"/>
        <w:jc w:val="both"/>
        <w:rPr>
          <w:rFonts w:ascii="Arial" w:hAnsi="Arial" w:cs="Arial"/>
        </w:rPr>
      </w:pPr>
      <w:r>
        <w:rPr>
          <w:rFonts w:ascii="Arial" w:hAnsi="Arial" w:cs="Arial"/>
        </w:rPr>
        <w:t>Actividades no planificadas.</w:t>
      </w:r>
    </w:p>
    <w:p w:rsidR="00F87902" w:rsidRDefault="00F87902">
      <w:pPr>
        <w:spacing w:line="360" w:lineRule="auto"/>
        <w:ind w:left="720"/>
        <w:jc w:val="both"/>
        <w:rPr>
          <w:rFonts w:ascii="Arial" w:hAnsi="Arial" w:cs="Arial"/>
        </w:rPr>
      </w:pPr>
    </w:p>
    <w:p w:rsidR="00F87902" w:rsidRDefault="00A519F9">
      <w:pPr>
        <w:spacing w:line="360" w:lineRule="auto"/>
        <w:jc w:val="both"/>
        <w:rPr>
          <w:rFonts w:ascii="Arial" w:hAnsi="Arial" w:cs="Arial"/>
        </w:rPr>
      </w:pPr>
      <w:r>
        <w:rPr>
          <w:rFonts w:ascii="Arial" w:hAnsi="Arial" w:cs="Arial"/>
        </w:rPr>
        <w:t>Anexos de cuadros resumen con información adicional de importancia para el proceso de evaluación del POA – 2015, al 31 de diciembre.</w:t>
      </w:r>
    </w:p>
    <w:p w:rsidR="00F87902" w:rsidRDefault="00A519F9">
      <w:pPr>
        <w:rPr>
          <w:rFonts w:ascii="Arial" w:hAnsi="Arial" w:cs="Arial"/>
          <w:color w:val="0070C0"/>
        </w:rPr>
      </w:pPr>
      <w:r>
        <w:br w:type="page"/>
      </w:r>
    </w:p>
    <w:p w:rsidR="00F87902" w:rsidRDefault="00A519F9">
      <w:pPr>
        <w:spacing w:line="360" w:lineRule="auto"/>
        <w:jc w:val="both"/>
        <w:rPr>
          <w:rFonts w:ascii="Arial" w:hAnsi="Arial" w:cs="Arial"/>
          <w:b/>
        </w:rPr>
      </w:pPr>
      <w:r>
        <w:rPr>
          <w:rFonts w:ascii="Arial" w:hAnsi="Arial" w:cs="Arial"/>
          <w:b/>
        </w:rPr>
        <w:lastRenderedPageBreak/>
        <w:t>Los informes integrados sobre el grado de cumplimiento de objetivos y metas del POA-2015, con corte al 31 de diciembre, de Rectoría, vicerrectoría, facultad, centro y sede incluyen lo siguiente:</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Oficio con acuerdo de aprobación en su respectivo ámbito de competencia.</w:t>
      </w:r>
    </w:p>
    <w:p w:rsidR="00F87902" w:rsidRDefault="00A519F9">
      <w:pPr>
        <w:spacing w:line="360" w:lineRule="auto"/>
        <w:jc w:val="both"/>
        <w:rPr>
          <w:rFonts w:ascii="Arial" w:hAnsi="Arial" w:cs="Arial"/>
        </w:rPr>
      </w:pPr>
      <w:r>
        <w:rPr>
          <w:rFonts w:ascii="Arial" w:hAnsi="Arial" w:cs="Arial"/>
        </w:rPr>
        <w:t>Tabla de contenido (para facilitar la lectura del informe es importante que presente numeración consecutiva).</w:t>
      </w:r>
    </w:p>
    <w:p w:rsidR="00F87902" w:rsidRDefault="00F87902">
      <w:pPr>
        <w:spacing w:line="360" w:lineRule="auto"/>
        <w:jc w:val="both"/>
        <w:rPr>
          <w:rFonts w:ascii="Arial" w:hAnsi="Arial" w:cs="Arial"/>
        </w:rPr>
      </w:pPr>
    </w:p>
    <w:p w:rsidR="00F87902" w:rsidRDefault="00A519F9">
      <w:pPr>
        <w:numPr>
          <w:ilvl w:val="0"/>
          <w:numId w:val="8"/>
        </w:numPr>
        <w:spacing w:line="360" w:lineRule="auto"/>
        <w:jc w:val="both"/>
        <w:rPr>
          <w:rFonts w:ascii="Arial" w:hAnsi="Arial" w:cs="Arial"/>
        </w:rPr>
      </w:pPr>
      <w:r>
        <w:rPr>
          <w:rFonts w:ascii="Arial" w:hAnsi="Arial" w:cs="Arial"/>
        </w:rPr>
        <w:t>Información sobre grado de cumplimiento de los objetivos y las metas.</w:t>
      </w:r>
    </w:p>
    <w:p w:rsidR="00F87902" w:rsidRDefault="00A519F9">
      <w:pPr>
        <w:numPr>
          <w:ilvl w:val="0"/>
          <w:numId w:val="8"/>
        </w:numPr>
        <w:spacing w:line="360" w:lineRule="auto"/>
        <w:jc w:val="both"/>
        <w:rPr>
          <w:rFonts w:ascii="Arial" w:hAnsi="Arial" w:cs="Arial"/>
        </w:rPr>
      </w:pPr>
      <w:r>
        <w:rPr>
          <w:rFonts w:ascii="Arial" w:hAnsi="Arial" w:cs="Arial"/>
        </w:rPr>
        <w:t>Actividades no planificadas.</w:t>
      </w:r>
    </w:p>
    <w:p w:rsidR="00F87902" w:rsidRDefault="00F87902">
      <w:pPr>
        <w:spacing w:line="360" w:lineRule="auto"/>
        <w:ind w:left="720"/>
        <w:jc w:val="both"/>
        <w:rPr>
          <w:rFonts w:ascii="Arial" w:hAnsi="Arial" w:cs="Arial"/>
        </w:rPr>
      </w:pPr>
    </w:p>
    <w:p w:rsidR="00F87902" w:rsidRDefault="00A519F9">
      <w:pPr>
        <w:spacing w:line="360" w:lineRule="auto"/>
        <w:jc w:val="both"/>
        <w:rPr>
          <w:rFonts w:ascii="Arial" w:hAnsi="Arial" w:cs="Arial"/>
        </w:rPr>
      </w:pPr>
      <w:r>
        <w:rPr>
          <w:rFonts w:ascii="Arial" w:hAnsi="Arial" w:cs="Arial"/>
        </w:rPr>
        <w:t>Anexos de cuadros resumen con información adicional de importancia para el proceso de evaluación del POA – 2015, al 31 de diciembre.</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El informe integrado de evaluación del POAI-2015, con corte al 31 de diciembre, constituye una síntesis de la información recopilada en todas las unidades ejecutoras y aquella plasmada en los informes integrados de las instancias a las cuales se hayan adscritas.</w:t>
      </w:r>
    </w:p>
    <w:p w:rsidR="00F87902" w:rsidRDefault="00F87902">
      <w:pPr>
        <w:pStyle w:val="Encabezado1"/>
        <w:spacing w:line="360" w:lineRule="auto"/>
        <w:rPr>
          <w:rFonts w:ascii="Arial" w:hAnsi="Arial" w:cs="Arial"/>
          <w:color w:val="0070C0"/>
        </w:rPr>
      </w:pPr>
    </w:p>
    <w:p w:rsidR="00F87902" w:rsidRDefault="00F87902">
      <w:pPr>
        <w:rPr>
          <w:color w:val="0070C0"/>
        </w:rPr>
      </w:pPr>
    </w:p>
    <w:p w:rsidR="00F87902" w:rsidRDefault="00A519F9">
      <w:pPr>
        <w:rPr>
          <w:color w:val="0070C0"/>
        </w:rPr>
      </w:pPr>
      <w:r>
        <w:br w:type="page"/>
      </w:r>
    </w:p>
    <w:p w:rsidR="00F87902" w:rsidRDefault="00A519F9">
      <w:pPr>
        <w:pStyle w:val="Encabezado1"/>
        <w:spacing w:line="360" w:lineRule="auto"/>
        <w:rPr>
          <w:rFonts w:ascii="Arial" w:hAnsi="Arial" w:cs="Arial"/>
        </w:rPr>
      </w:pPr>
      <w:bookmarkStart w:id="26" w:name="_Toc205101716"/>
      <w:bookmarkStart w:id="27" w:name="_Toc205107159"/>
      <w:bookmarkStart w:id="28" w:name="_Toc205089175"/>
      <w:bookmarkStart w:id="29" w:name="_Toc205107265"/>
      <w:bookmarkStart w:id="30" w:name="_Toc237747459"/>
      <w:bookmarkStart w:id="31" w:name="_Toc205106820"/>
      <w:bookmarkStart w:id="32" w:name="_Toc205107630"/>
      <w:bookmarkStart w:id="33" w:name="_Toc205089010"/>
      <w:bookmarkStart w:id="34" w:name="_Toc205101579"/>
      <w:bookmarkStart w:id="35" w:name="_Toc205107674"/>
      <w:bookmarkStart w:id="36" w:name="_Toc205107611"/>
      <w:bookmarkStart w:id="37" w:name="_Toc348683619"/>
      <w:r>
        <w:rPr>
          <w:rFonts w:ascii="Arial" w:hAnsi="Arial" w:cs="Arial"/>
        </w:rPr>
        <w:lastRenderedPageBreak/>
        <w:t xml:space="preserve">RESULTADOS </w:t>
      </w:r>
      <w:bookmarkEnd w:id="26"/>
      <w:bookmarkEnd w:id="27"/>
      <w:bookmarkEnd w:id="28"/>
      <w:bookmarkEnd w:id="29"/>
      <w:bookmarkEnd w:id="30"/>
      <w:bookmarkEnd w:id="31"/>
      <w:bookmarkEnd w:id="32"/>
      <w:bookmarkEnd w:id="33"/>
      <w:bookmarkEnd w:id="34"/>
      <w:bookmarkEnd w:id="35"/>
      <w:bookmarkEnd w:id="36"/>
      <w:bookmarkEnd w:id="37"/>
      <w:r>
        <w:rPr>
          <w:rFonts w:ascii="Arial" w:hAnsi="Arial" w:cs="Arial"/>
        </w:rPr>
        <w:t>DE GESTIÓN</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 xml:space="preserve">Según se establece en el Plan operativo anual institucional 2015, la Universidad Nacional, para el cumplimiento de sus objetivos y metas, cuenta con una estructura presupuestaria conformada por tres programas, tal como se detalla: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i/>
        </w:rPr>
        <w:t>Programa Académico</w:t>
      </w:r>
      <w:r>
        <w:rPr>
          <w:rFonts w:ascii="Arial" w:hAnsi="Arial" w:cs="Arial"/>
        </w:rPr>
        <w:t xml:space="preserve">. Refleja el trabajo sustantivo de la institución, en tanto mediante sus actividades se cumple con las funciones estipuladas en el Estatuto Orgánico y en la Ley de Creación de la Universidad. Incluye, por la parte de Docencia, todas aquellas actividades que se relacionan “con la acción planificada y sistemática de la enseñanza, que activa procesos de adquisición y construcción de conocimientos, actitudes y habilidades a partir de una relación abierta, dentro de un currículo dinámico y flexible”.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En lo que se refiere a investigación comprende todas las actividades destinadas a la creación, la generación y la transferencia de conocimientos y tecnología; en tanto en extensión contempla todas aquellas actividades por medio de las cuales la universidad genera conocimiento científico, mediante la proyección e interrelación crítica y creadora con la comunidad nacional.</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 xml:space="preserve">El componente de programas integrados incluye aquellas actividades presupuestarias que incorporen de forma integrada elementos de las áreas citadas anteriormente y, por último, lo que se refiere a la gestión académica refleja todas aquellas actividades relacionadas con la administración académica que anteriormente se incluían dentro del programa Dirección superior y apoyo académico.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i/>
        </w:rPr>
        <w:t>Programa Vida universitaria</w:t>
      </w:r>
      <w:r>
        <w:rPr>
          <w:rFonts w:ascii="Arial" w:hAnsi="Arial" w:cs="Arial"/>
        </w:rPr>
        <w:t xml:space="preserve">. Comprende todas aquellas actividades dirigidas al fortalecimiento y al desarrollo del bienestar estudiantil, tomando en cuenta uno de los aspectos fundamentales de la institución: el aporte a la equidad y la justicia social, el cual se potencia mediante las oportunidades de formación que se brindan a los jóvenes, sin discriminar por condición socioeconómica, procedencia geográfica, género, etc. Este programa comprende todas aquellas actividades dirigidas al fortalecimiento y al desarrollo </w:t>
      </w:r>
      <w:r>
        <w:rPr>
          <w:rFonts w:ascii="Arial" w:hAnsi="Arial" w:cs="Arial"/>
        </w:rPr>
        <w:lastRenderedPageBreak/>
        <w:t>de la comunidad universitaria, además de las relacionadas con la gestión y la administración de los procesos paraacadémicos institucionales y las actividades universitarias que potencian la vida estudiantil.</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i/>
        </w:rPr>
        <w:t>Programa Administrativo</w:t>
      </w:r>
      <w:r>
        <w:rPr>
          <w:rFonts w:ascii="Arial" w:hAnsi="Arial" w:cs="Arial"/>
        </w:rPr>
        <w:t xml:space="preserve">. Incluye todas las acciones de gestión administrativa, de dirección superior, asesoría técnica, tecnológica y contraloría, servicios generales, que dan soporte logístico a las actividades sustantivas del quehacer universitario. En cuanto a inversión estratégica contempla las previsiones que requiere la Universidad Nacional para dotar a la institución de equipo científico y tecnológico, así como de las obras de infraestructura física necesarias. </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lang w:val="es-CR" w:eastAsia="es-CR"/>
        </w:rPr>
      </w:pPr>
      <w:r>
        <w:rPr>
          <w:rFonts w:ascii="Arial" w:hAnsi="Arial" w:cs="Arial"/>
        </w:rPr>
        <w:t xml:space="preserve">Con base en lo anterior, la distribución de los recursos para el año 2015 es la siguiente: Programa Administrativo </w:t>
      </w:r>
      <w:r>
        <w:rPr>
          <w:rFonts w:ascii="Arial" w:hAnsi="Arial" w:cs="Arial"/>
          <w:lang w:eastAsia="es-CR"/>
        </w:rPr>
        <w:t>₡</w:t>
      </w:r>
      <w:r>
        <w:rPr>
          <w:rFonts w:ascii="Arial" w:hAnsi="Arial" w:cs="Arial"/>
          <w:bCs/>
          <w:lang w:val="es-CR" w:eastAsia="es-CR"/>
        </w:rPr>
        <w:t>31.954,9</w:t>
      </w:r>
      <w:r>
        <w:rPr>
          <w:rFonts w:ascii="Arial" w:hAnsi="Arial" w:cs="Arial"/>
        </w:rPr>
        <w:t xml:space="preserve"> millones, Programa Académico </w:t>
      </w:r>
      <w:r>
        <w:rPr>
          <w:rFonts w:ascii="Arial" w:hAnsi="Arial" w:cs="Arial"/>
          <w:lang w:eastAsia="es-CR"/>
        </w:rPr>
        <w:t>₡75.217,5</w:t>
      </w:r>
      <w:r>
        <w:rPr>
          <w:rFonts w:ascii="Arial" w:hAnsi="Arial" w:cs="Arial"/>
        </w:rPr>
        <w:t xml:space="preserve">millones y Programa Vida Universitaria </w:t>
      </w:r>
      <w:r>
        <w:rPr>
          <w:rFonts w:ascii="Arial" w:hAnsi="Arial" w:cs="Arial"/>
          <w:lang w:eastAsia="es-CR"/>
        </w:rPr>
        <w:t>₡</w:t>
      </w:r>
      <w:r>
        <w:rPr>
          <w:rFonts w:ascii="Arial" w:hAnsi="Arial" w:cs="Arial"/>
          <w:lang w:val="es-CR" w:eastAsia="es-CR"/>
        </w:rPr>
        <w:t xml:space="preserve">22.151,7 </w:t>
      </w:r>
      <w:r>
        <w:rPr>
          <w:rFonts w:ascii="Arial" w:hAnsi="Arial" w:cs="Arial"/>
        </w:rPr>
        <w:t xml:space="preserve">millones. </w:t>
      </w:r>
    </w:p>
    <w:p w:rsidR="00F87902" w:rsidRDefault="00A519F9">
      <w:pPr>
        <w:spacing w:line="360" w:lineRule="auto"/>
        <w:jc w:val="both"/>
        <w:rPr>
          <w:rFonts w:ascii="Arial" w:hAnsi="Arial" w:cs="Arial"/>
          <w:lang w:val="es-CR"/>
        </w:rPr>
      </w:pPr>
      <w:r>
        <w:br w:type="page"/>
      </w:r>
    </w:p>
    <w:p w:rsidR="00F87902" w:rsidRDefault="00A519F9">
      <w:pPr>
        <w:pStyle w:val="Encabezado1"/>
        <w:spacing w:line="360" w:lineRule="auto"/>
        <w:rPr>
          <w:rFonts w:ascii="Arial" w:hAnsi="Arial" w:cs="Arial"/>
        </w:rPr>
      </w:pPr>
      <w:bookmarkStart w:id="38" w:name="_Toc237747460"/>
      <w:bookmarkStart w:id="39" w:name="_Toc348683620"/>
      <w:bookmarkEnd w:id="38"/>
      <w:bookmarkEnd w:id="39"/>
      <w:r>
        <w:rPr>
          <w:rFonts w:ascii="Arial" w:hAnsi="Arial" w:cs="Arial"/>
        </w:rPr>
        <w:lastRenderedPageBreak/>
        <w:t>Ejecución presupuestaria.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Con base en el monto institucionalmente asignado, se realiza la evaluación de la ejecución presupuestaria durante el año 2015.</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Al 31 de diciembre del 2015 se ejecutaron ₡</w:t>
      </w:r>
      <w:r>
        <w:rPr>
          <w:rFonts w:ascii="Arial" w:hAnsi="Arial" w:cs="Arial"/>
          <w:bCs/>
        </w:rPr>
        <w:t>96.422,5</w:t>
      </w:r>
      <w:r>
        <w:rPr>
          <w:rFonts w:ascii="Arial" w:hAnsi="Arial" w:cs="Arial"/>
        </w:rPr>
        <w:t xml:space="preserve"> millones, monto que representa el </w:t>
      </w:r>
      <w:r>
        <w:rPr>
          <w:rFonts w:ascii="Arial" w:hAnsi="Arial" w:cs="Arial"/>
          <w:b/>
          <w:lang w:val="es-CR" w:eastAsia="es-CR"/>
        </w:rPr>
        <w:t>74,6%</w:t>
      </w:r>
      <w:r>
        <w:rPr>
          <w:rFonts w:ascii="Arial" w:hAnsi="Arial" w:cs="Arial"/>
        </w:rPr>
        <w:t xml:space="preserve"> de los ₡</w:t>
      </w:r>
      <w:r>
        <w:rPr>
          <w:rFonts w:ascii="Arial" w:hAnsi="Arial" w:cs="Arial"/>
          <w:lang w:val="es-CR" w:eastAsia="es-CR"/>
        </w:rPr>
        <w:t xml:space="preserve">129.324,1 </w:t>
      </w:r>
      <w:r>
        <w:rPr>
          <w:rFonts w:ascii="Arial" w:hAnsi="Arial" w:cs="Arial"/>
        </w:rPr>
        <w:t xml:space="preserve">millones totales asignados en el presupuesto institucional. </w:t>
      </w:r>
    </w:p>
    <w:p w:rsidR="00F87902" w:rsidRDefault="00F87902">
      <w:pPr>
        <w:spacing w:line="360" w:lineRule="auto"/>
        <w:jc w:val="both"/>
        <w:rPr>
          <w:rFonts w:ascii="Arial" w:hAnsi="Arial" w:cs="Arial"/>
        </w:rPr>
      </w:pP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GRÁFICO N</w:t>
      </w:r>
      <w:r>
        <w:rPr>
          <w:rFonts w:ascii="Arial" w:hAnsi="Arial" w:cs="Arial"/>
          <w:b/>
          <w:vertAlign w:val="superscript"/>
        </w:rPr>
        <w:t>o</w:t>
      </w:r>
      <w:r>
        <w:rPr>
          <w:rFonts w:ascii="Arial" w:hAnsi="Arial" w:cs="Arial"/>
          <w:b/>
        </w:rPr>
        <w:t>1</w:t>
      </w: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PRESUPUESTO UNIVERSIDAD NACIONAL</w:t>
      </w:r>
    </w:p>
    <w:p w:rsidR="00F87902" w:rsidRDefault="00A519F9">
      <w:pPr>
        <w:jc w:val="center"/>
        <w:rPr>
          <w:rFonts w:ascii="Arial" w:hAnsi="Arial" w:cs="Arial"/>
          <w:b/>
        </w:rPr>
      </w:pPr>
      <w:r>
        <w:rPr>
          <w:rFonts w:ascii="Arial" w:hAnsi="Arial" w:cs="Arial"/>
          <w:b/>
        </w:rPr>
        <w:t xml:space="preserve">ASIGNACIÓN Y EJECUCIÓN </w:t>
      </w:r>
    </w:p>
    <w:p w:rsidR="00F87902" w:rsidRDefault="00A519F9">
      <w:pPr>
        <w:jc w:val="center"/>
        <w:rPr>
          <w:rFonts w:ascii="Arial" w:hAnsi="Arial" w:cs="Arial"/>
          <w:b/>
          <w:color w:val="0070C0"/>
        </w:rPr>
      </w:pPr>
      <w:r>
        <w:rPr>
          <w:rFonts w:ascii="Arial" w:hAnsi="Arial" w:cs="Arial"/>
        </w:rPr>
        <w:t>–</w:t>
      </w:r>
      <w:r>
        <w:rPr>
          <w:rFonts w:ascii="Arial" w:hAnsi="Arial" w:cs="Arial"/>
          <w:b/>
        </w:rPr>
        <w:t>Al 31 de diciembre del 2015</w:t>
      </w:r>
      <w:r>
        <w:rPr>
          <w:rFonts w:ascii="Arial" w:hAnsi="Arial" w:cs="Arial"/>
        </w:rPr>
        <w:t>–</w:t>
      </w:r>
    </w:p>
    <w:p w:rsidR="00F87902" w:rsidRDefault="00A519F9">
      <w:pPr>
        <w:jc w:val="center"/>
        <w:rPr>
          <w:color w:val="0070C0"/>
          <w:lang w:val="es-CR" w:eastAsia="es-CR"/>
        </w:rPr>
      </w:pPr>
      <w:r>
        <w:rPr>
          <w:noProof/>
          <w:lang w:val="es-CR" w:eastAsia="es-CR"/>
        </w:rPr>
        <w:drawing>
          <wp:inline distT="0" distB="0" distL="0" distR="0">
            <wp:extent cx="4228465" cy="2742565"/>
            <wp:effectExtent l="0" t="0" r="635" b="6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7902" w:rsidRDefault="00F87902">
      <w:pPr>
        <w:jc w:val="center"/>
        <w:rPr>
          <w:rFonts w:ascii="Arial" w:hAnsi="Arial" w:cs="Arial"/>
          <w:b/>
          <w:color w:val="0070C0"/>
          <w:sz w:val="12"/>
        </w:rPr>
      </w:pPr>
    </w:p>
    <w:p w:rsidR="00F87902" w:rsidRDefault="00A519F9">
      <w:pPr>
        <w:spacing w:line="360" w:lineRule="auto"/>
        <w:ind w:left="1134"/>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color w:val="0070C0"/>
        </w:rPr>
      </w:pPr>
    </w:p>
    <w:p w:rsidR="00F87902" w:rsidRDefault="00F87902">
      <w:pPr>
        <w:spacing w:line="360" w:lineRule="auto"/>
        <w:jc w:val="both"/>
        <w:rPr>
          <w:rFonts w:ascii="Arial" w:hAnsi="Arial" w:cs="Arial"/>
          <w:color w:val="0070C0"/>
        </w:rPr>
      </w:pPr>
    </w:p>
    <w:p w:rsidR="00F87902" w:rsidRDefault="00A519F9">
      <w:pPr>
        <w:spacing w:line="360" w:lineRule="auto"/>
        <w:jc w:val="both"/>
        <w:rPr>
          <w:rFonts w:ascii="Arial" w:hAnsi="Arial" w:cs="Arial"/>
        </w:rPr>
      </w:pPr>
      <w:r>
        <w:rPr>
          <w:rFonts w:ascii="Arial" w:hAnsi="Arial" w:cs="Arial"/>
        </w:rPr>
        <w:t xml:space="preserve">La ejecución presupuestaria del 74,6% de la totalidad de los recursos presupuestados se distribuye en la forma que a continuación se indica: </w:t>
      </w:r>
    </w:p>
    <w:p w:rsidR="00F87902" w:rsidRDefault="00F87902">
      <w:pPr>
        <w:spacing w:line="360" w:lineRule="auto"/>
        <w:jc w:val="both"/>
        <w:rPr>
          <w:rFonts w:ascii="Arial" w:hAnsi="Arial" w:cs="Arial"/>
          <w:color w:val="0070C0"/>
        </w:rPr>
      </w:pPr>
    </w:p>
    <w:p w:rsidR="00F87902" w:rsidRDefault="00F87902">
      <w:pPr>
        <w:spacing w:line="360" w:lineRule="auto"/>
        <w:jc w:val="both"/>
        <w:rPr>
          <w:rFonts w:ascii="Arial" w:hAnsi="Arial" w:cs="Arial"/>
          <w:color w:val="0070C0"/>
        </w:rPr>
      </w:pPr>
    </w:p>
    <w:p w:rsidR="00F87902" w:rsidRDefault="00F87902">
      <w:pPr>
        <w:spacing w:line="360" w:lineRule="auto"/>
        <w:jc w:val="both"/>
        <w:rPr>
          <w:rFonts w:ascii="Arial" w:hAnsi="Arial" w:cs="Arial"/>
          <w:color w:val="0070C0"/>
        </w:rPr>
      </w:pPr>
    </w:p>
    <w:p w:rsidR="00F87902" w:rsidRDefault="00F87902">
      <w:pPr>
        <w:spacing w:line="360" w:lineRule="auto"/>
        <w:jc w:val="both"/>
        <w:rPr>
          <w:rFonts w:ascii="Arial" w:hAnsi="Arial" w:cs="Arial"/>
          <w:color w:val="0070C0"/>
        </w:rPr>
      </w:pPr>
    </w:p>
    <w:p w:rsidR="00F87902" w:rsidRDefault="00A519F9">
      <w:pPr>
        <w:jc w:val="center"/>
        <w:rPr>
          <w:rFonts w:ascii="Arial" w:hAnsi="Arial" w:cs="Arial"/>
          <w:b/>
        </w:rPr>
      </w:pPr>
      <w:r>
        <w:rPr>
          <w:rFonts w:ascii="Arial" w:hAnsi="Arial" w:cs="Arial"/>
          <w:b/>
        </w:rPr>
        <w:lastRenderedPageBreak/>
        <w:t>CUADRO N°1</w:t>
      </w: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EJECUCIÓN PRESUPUESTARIA</w:t>
      </w:r>
    </w:p>
    <w:p w:rsidR="00F87902" w:rsidRDefault="00A519F9">
      <w:pPr>
        <w:jc w:val="center"/>
        <w:rPr>
          <w:rFonts w:ascii="Arial" w:hAnsi="Arial" w:cs="Arial"/>
          <w:b/>
        </w:rPr>
      </w:pPr>
      <w:r>
        <w:rPr>
          <w:rFonts w:ascii="Arial" w:hAnsi="Arial" w:cs="Arial"/>
          <w:b/>
        </w:rPr>
        <w:t>AL MES DE DICIEMBRE DEL 2015 SEGÚN PROGRAMA PRESUPUESTARIO</w:t>
      </w:r>
    </w:p>
    <w:p w:rsidR="00F87902" w:rsidRDefault="00A519F9">
      <w:pPr>
        <w:jc w:val="center"/>
        <w:rPr>
          <w:rFonts w:ascii="Arial" w:hAnsi="Arial" w:cs="Arial"/>
          <w:b/>
        </w:rPr>
      </w:pPr>
      <w:r>
        <w:rPr>
          <w:rFonts w:ascii="Arial" w:hAnsi="Arial" w:cs="Arial"/>
          <w:b/>
        </w:rPr>
        <w:t>(millones de colones)</w:t>
      </w:r>
    </w:p>
    <w:p w:rsidR="00F87902" w:rsidRDefault="00F87902">
      <w:pPr>
        <w:jc w:val="center"/>
        <w:rPr>
          <w:rFonts w:ascii="Arial" w:hAnsi="Arial" w:cs="Arial"/>
          <w:b/>
        </w:rPr>
      </w:pPr>
    </w:p>
    <w:tbl>
      <w:tblPr>
        <w:tblW w:w="908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2075"/>
        <w:gridCol w:w="1894"/>
        <w:gridCol w:w="1894"/>
        <w:gridCol w:w="1700"/>
        <w:gridCol w:w="1526"/>
      </w:tblGrid>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6A6A6"/>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PROGRAMA</w:t>
            </w:r>
          </w:p>
        </w:tc>
        <w:tc>
          <w:tcPr>
            <w:tcW w:w="1894" w:type="dxa"/>
            <w:tcBorders>
              <w:top w:val="single" w:sz="4" w:space="0" w:color="00000A"/>
              <w:left w:val="single" w:sz="4" w:space="0" w:color="00000A"/>
              <w:bottom w:val="single" w:sz="4" w:space="0" w:color="00000A"/>
              <w:right w:val="single" w:sz="4" w:space="0" w:color="00000A"/>
            </w:tcBorders>
            <w:shd w:val="clear" w:color="auto" w:fill="A6A6A6"/>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MONTO</w:t>
            </w:r>
          </w:p>
          <w:p w:rsidR="00F87902" w:rsidRDefault="00A519F9">
            <w:pPr>
              <w:jc w:val="center"/>
              <w:rPr>
                <w:rFonts w:ascii="Arial" w:hAnsi="Arial" w:cs="Arial"/>
                <w:b/>
                <w:sz w:val="20"/>
                <w:szCs w:val="20"/>
              </w:rPr>
            </w:pPr>
            <w:r>
              <w:rPr>
                <w:rFonts w:ascii="Arial" w:hAnsi="Arial" w:cs="Arial"/>
                <w:b/>
                <w:sz w:val="20"/>
                <w:szCs w:val="20"/>
              </w:rPr>
              <w:t>INICIAL</w:t>
            </w:r>
          </w:p>
        </w:tc>
        <w:tc>
          <w:tcPr>
            <w:tcW w:w="1894" w:type="dxa"/>
            <w:tcBorders>
              <w:top w:val="single" w:sz="4" w:space="0" w:color="00000A"/>
              <w:left w:val="single" w:sz="4" w:space="0" w:color="00000A"/>
              <w:bottom w:val="single" w:sz="4" w:space="0" w:color="00000A"/>
              <w:right w:val="single" w:sz="4" w:space="0" w:color="00000A"/>
            </w:tcBorders>
            <w:shd w:val="clear" w:color="auto" w:fill="A6A6A6"/>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MONTO</w:t>
            </w:r>
          </w:p>
          <w:p w:rsidR="00F87902" w:rsidRDefault="00A519F9">
            <w:pPr>
              <w:jc w:val="center"/>
              <w:rPr>
                <w:rFonts w:ascii="Arial" w:hAnsi="Arial" w:cs="Arial"/>
                <w:b/>
                <w:sz w:val="20"/>
                <w:szCs w:val="20"/>
              </w:rPr>
            </w:pPr>
            <w:r>
              <w:rPr>
                <w:rFonts w:ascii="Arial" w:hAnsi="Arial" w:cs="Arial"/>
                <w:b/>
                <w:sz w:val="20"/>
                <w:szCs w:val="20"/>
              </w:rPr>
              <w:t>MODIFICADO</w:t>
            </w:r>
          </w:p>
        </w:tc>
        <w:tc>
          <w:tcPr>
            <w:tcW w:w="1700" w:type="dxa"/>
            <w:tcBorders>
              <w:top w:val="single" w:sz="4" w:space="0" w:color="00000A"/>
              <w:left w:val="single" w:sz="4" w:space="0" w:color="00000A"/>
              <w:bottom w:val="single" w:sz="4" w:space="0" w:color="00000A"/>
              <w:right w:val="single" w:sz="4" w:space="0" w:color="00000A"/>
            </w:tcBorders>
            <w:shd w:val="clear" w:color="auto" w:fill="A6A6A6"/>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MONTO</w:t>
            </w:r>
          </w:p>
          <w:p w:rsidR="00F87902" w:rsidRDefault="00A519F9">
            <w:pPr>
              <w:jc w:val="center"/>
              <w:rPr>
                <w:rFonts w:ascii="Arial" w:hAnsi="Arial" w:cs="Arial"/>
                <w:b/>
                <w:sz w:val="20"/>
                <w:szCs w:val="20"/>
              </w:rPr>
            </w:pPr>
            <w:r>
              <w:rPr>
                <w:rFonts w:ascii="Arial" w:hAnsi="Arial" w:cs="Arial"/>
                <w:b/>
                <w:sz w:val="20"/>
                <w:szCs w:val="20"/>
              </w:rPr>
              <w:t>EJECUTADO</w:t>
            </w:r>
          </w:p>
        </w:tc>
        <w:tc>
          <w:tcPr>
            <w:tcW w:w="1526" w:type="dxa"/>
            <w:tcBorders>
              <w:top w:val="single" w:sz="4" w:space="0" w:color="00000A"/>
              <w:left w:val="single" w:sz="4" w:space="0" w:color="00000A"/>
              <w:bottom w:val="single" w:sz="4" w:space="0" w:color="00000A"/>
              <w:right w:val="single" w:sz="4" w:space="0" w:color="00000A"/>
            </w:tcBorders>
            <w:shd w:val="clear" w:color="auto" w:fill="A6A6A6"/>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PESO</w:t>
            </w:r>
          </w:p>
          <w:p w:rsidR="00F87902" w:rsidRDefault="00A519F9">
            <w:pPr>
              <w:jc w:val="center"/>
              <w:rPr>
                <w:rFonts w:ascii="Arial" w:hAnsi="Arial" w:cs="Arial"/>
                <w:b/>
                <w:sz w:val="20"/>
                <w:szCs w:val="20"/>
              </w:rPr>
            </w:pPr>
            <w:r>
              <w:rPr>
                <w:rFonts w:ascii="Arial" w:hAnsi="Arial" w:cs="Arial"/>
                <w:b/>
                <w:sz w:val="20"/>
                <w:szCs w:val="20"/>
              </w:rPr>
              <w:t>RELATIVO</w:t>
            </w: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sz w:val="20"/>
                <w:szCs w:val="20"/>
              </w:rPr>
            </w:pPr>
            <w:r>
              <w:rPr>
                <w:rFonts w:ascii="Arial" w:hAnsi="Arial" w:cs="Arial"/>
                <w:sz w:val="20"/>
                <w:szCs w:val="20"/>
              </w:rPr>
              <w:t>Académico</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ind w:right="340"/>
              <w:jc w:val="right"/>
              <w:rPr>
                <w:rFonts w:ascii="Arial" w:hAnsi="Arial" w:cs="Arial"/>
                <w:sz w:val="20"/>
                <w:szCs w:val="20"/>
              </w:rPr>
            </w:pPr>
            <w:r>
              <w:rPr>
                <w:rFonts w:ascii="Arial" w:hAnsi="Arial" w:cs="Arial"/>
                <w:sz w:val="20"/>
                <w:szCs w:val="20"/>
              </w:rPr>
              <w:t>64.913,5</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75.217,5</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54.415,6</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72,3%</w:t>
            </w: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sz w:val="20"/>
                <w:szCs w:val="20"/>
              </w:rPr>
            </w:pPr>
            <w:r>
              <w:rPr>
                <w:rFonts w:ascii="Arial" w:hAnsi="Arial" w:cs="Arial"/>
                <w:sz w:val="20"/>
                <w:szCs w:val="20"/>
              </w:rPr>
              <w:t>Vida universitaria</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ind w:right="340"/>
              <w:jc w:val="right"/>
              <w:rPr>
                <w:rFonts w:ascii="Arial" w:hAnsi="Arial" w:cs="Arial"/>
                <w:sz w:val="20"/>
                <w:szCs w:val="20"/>
              </w:rPr>
            </w:pPr>
            <w:r>
              <w:rPr>
                <w:rFonts w:ascii="Arial" w:hAnsi="Arial" w:cs="Arial"/>
                <w:sz w:val="20"/>
                <w:szCs w:val="20"/>
              </w:rPr>
              <w:t>19.834,7</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22.151,7</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16.961,0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76,6%</w:t>
            </w: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sz w:val="20"/>
                <w:szCs w:val="20"/>
              </w:rPr>
            </w:pPr>
            <w:r>
              <w:rPr>
                <w:rFonts w:ascii="Arial" w:hAnsi="Arial" w:cs="Arial"/>
                <w:sz w:val="20"/>
                <w:szCs w:val="20"/>
              </w:rPr>
              <w:t>Administrativo</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ind w:right="340"/>
              <w:jc w:val="right"/>
              <w:rPr>
                <w:rFonts w:ascii="Arial" w:hAnsi="Arial" w:cs="Arial"/>
                <w:sz w:val="20"/>
                <w:szCs w:val="20"/>
              </w:rPr>
            </w:pPr>
            <w:r>
              <w:rPr>
                <w:rFonts w:ascii="Arial" w:hAnsi="Arial" w:cs="Arial"/>
                <w:sz w:val="20"/>
                <w:szCs w:val="20"/>
              </w:rPr>
              <w:t>35.830,8</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31.954,9</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25.045,9</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sz w:val="20"/>
                <w:szCs w:val="20"/>
              </w:rPr>
            </w:pPr>
            <w:r>
              <w:rPr>
                <w:rFonts w:ascii="Arial" w:hAnsi="Arial" w:cs="Arial"/>
                <w:sz w:val="20"/>
                <w:szCs w:val="20"/>
              </w:rPr>
              <w:t>78,4%</w:t>
            </w: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sz w:val="20"/>
                <w:szCs w:val="20"/>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ind w:right="340"/>
              <w:jc w:val="center"/>
              <w:rPr>
                <w:rFonts w:ascii="Arial" w:hAnsi="Arial" w:cs="Arial"/>
                <w:sz w:val="20"/>
                <w:szCs w:val="20"/>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ind w:right="340"/>
              <w:jc w:val="center"/>
              <w:rPr>
                <w:rFonts w:ascii="Arial" w:hAnsi="Arial" w:cs="Arial"/>
                <w:sz w:val="20"/>
                <w:szCs w:val="20"/>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ind w:right="340"/>
              <w:jc w:val="right"/>
              <w:rPr>
                <w:rFonts w:ascii="Arial" w:hAnsi="Arial" w:cs="Arial"/>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ind w:right="340"/>
              <w:jc w:val="right"/>
              <w:rPr>
                <w:rFonts w:ascii="Arial" w:hAnsi="Arial" w:cs="Arial"/>
                <w:sz w:val="20"/>
                <w:szCs w:val="20"/>
              </w:rPr>
            </w:pP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center"/>
              <w:rPr>
                <w:rFonts w:ascii="Arial" w:hAnsi="Arial" w:cs="Arial"/>
                <w:b/>
                <w:sz w:val="20"/>
                <w:szCs w:val="20"/>
              </w:rPr>
            </w:pPr>
            <w:r>
              <w:rPr>
                <w:rFonts w:ascii="Arial" w:hAnsi="Arial" w:cs="Arial"/>
                <w:b/>
                <w:sz w:val="20"/>
                <w:szCs w:val="20"/>
              </w:rPr>
              <w:t>Total general</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ind w:right="340"/>
              <w:jc w:val="right"/>
              <w:rPr>
                <w:rFonts w:ascii="Arial" w:hAnsi="Arial" w:cs="Arial"/>
                <w:b/>
                <w:sz w:val="20"/>
                <w:szCs w:val="20"/>
              </w:rPr>
            </w:pPr>
            <w:r>
              <w:rPr>
                <w:rFonts w:ascii="Arial" w:hAnsi="Arial" w:cs="Arial"/>
                <w:b/>
                <w:sz w:val="20"/>
                <w:szCs w:val="20"/>
              </w:rPr>
              <w:t>120.579,0</w:t>
            </w: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b/>
                <w:sz w:val="20"/>
                <w:szCs w:val="20"/>
              </w:rPr>
            </w:pPr>
            <w:r>
              <w:rPr>
                <w:rFonts w:ascii="Arial" w:hAnsi="Arial" w:cs="Arial"/>
                <w:b/>
                <w:sz w:val="20"/>
                <w:szCs w:val="20"/>
              </w:rPr>
              <w:t>129.324,1</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b/>
                <w:sz w:val="20"/>
                <w:szCs w:val="20"/>
              </w:rPr>
            </w:pPr>
            <w:r>
              <w:rPr>
                <w:rFonts w:ascii="Arial" w:hAnsi="Arial" w:cs="Arial"/>
                <w:b/>
                <w:sz w:val="20"/>
                <w:szCs w:val="20"/>
              </w:rPr>
              <w:t>96.422,5</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A519F9">
            <w:pPr>
              <w:ind w:right="340"/>
              <w:jc w:val="right"/>
              <w:rPr>
                <w:rFonts w:ascii="Arial" w:hAnsi="Arial" w:cs="Arial"/>
                <w:b/>
                <w:sz w:val="20"/>
                <w:szCs w:val="20"/>
              </w:rPr>
            </w:pPr>
            <w:r>
              <w:rPr>
                <w:rFonts w:ascii="Arial" w:hAnsi="Arial" w:cs="Arial"/>
                <w:b/>
                <w:sz w:val="20"/>
                <w:szCs w:val="20"/>
              </w:rPr>
              <w:t>74,6%</w:t>
            </w:r>
          </w:p>
        </w:tc>
      </w:tr>
      <w:tr w:rsidR="00F87902">
        <w:trPr>
          <w:jc w:val="center"/>
        </w:trPr>
        <w:tc>
          <w:tcPr>
            <w:tcW w:w="207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jc w:val="center"/>
              <w:rPr>
                <w:rFonts w:ascii="Arial" w:hAnsi="Arial" w:cs="Arial"/>
                <w:b/>
                <w:color w:val="0070C0"/>
                <w:sz w:val="20"/>
                <w:szCs w:val="20"/>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F87902">
            <w:pPr>
              <w:ind w:right="227"/>
              <w:jc w:val="right"/>
              <w:rPr>
                <w:rFonts w:ascii="Arial" w:hAnsi="Arial" w:cs="Arial"/>
                <w:color w:val="0070C0"/>
                <w:sz w:val="22"/>
                <w:szCs w:val="22"/>
              </w:rPr>
            </w:pPr>
          </w:p>
        </w:tc>
        <w:tc>
          <w:tcPr>
            <w:tcW w:w="189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F87902">
            <w:pPr>
              <w:ind w:right="227"/>
              <w:jc w:val="right"/>
              <w:rPr>
                <w:rFonts w:ascii="Arial" w:hAnsi="Arial" w:cs="Arial"/>
                <w:color w:val="0070C0"/>
                <w:sz w:val="22"/>
                <w:szCs w:val="22"/>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F87902">
            <w:pPr>
              <w:ind w:right="227"/>
              <w:jc w:val="right"/>
              <w:rPr>
                <w:rFonts w:ascii="Arial" w:hAnsi="Arial" w:cs="Arial"/>
                <w:color w:val="0070C0"/>
                <w:sz w:val="22"/>
                <w:szCs w:val="22"/>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rsidR="00F87902" w:rsidRDefault="00F87902">
            <w:pPr>
              <w:jc w:val="right"/>
              <w:rPr>
                <w:rFonts w:ascii="Arial" w:hAnsi="Arial" w:cs="Arial"/>
                <w:color w:val="0070C0"/>
              </w:rPr>
            </w:pPr>
          </w:p>
        </w:tc>
      </w:tr>
    </w:tbl>
    <w:p w:rsidR="00F87902" w:rsidRDefault="00A519F9">
      <w:pPr>
        <w:spacing w:line="360" w:lineRule="auto"/>
        <w:jc w:val="both"/>
        <w:rPr>
          <w:rFonts w:ascii="Arial" w:hAnsi="Arial" w:cs="Arial"/>
          <w:b/>
          <w:i/>
          <w:sz w:val="18"/>
          <w:szCs w:val="18"/>
        </w:rPr>
      </w:pPr>
      <w:r>
        <w:rPr>
          <w:rFonts w:ascii="Arial" w:hAnsi="Arial" w:cs="Arial"/>
          <w:b/>
          <w:i/>
          <w:sz w:val="18"/>
          <w:szCs w:val="18"/>
        </w:rPr>
        <w:t xml:space="preserve">  Fuente: Apeuna, con datos del Programa de Gestión Financiera.</w:t>
      </w:r>
    </w:p>
    <w:p w:rsidR="00F87902" w:rsidRDefault="00F87902">
      <w:pPr>
        <w:spacing w:line="360" w:lineRule="auto"/>
        <w:jc w:val="both"/>
        <w:rPr>
          <w:rFonts w:ascii="Arial" w:hAnsi="Arial" w:cs="Arial"/>
          <w:sz w:val="12"/>
          <w:szCs w:val="12"/>
        </w:rPr>
      </w:pPr>
    </w:p>
    <w:p w:rsidR="00F87902" w:rsidRDefault="00A519F9">
      <w:pPr>
        <w:spacing w:line="360" w:lineRule="auto"/>
        <w:jc w:val="both"/>
        <w:rPr>
          <w:rFonts w:ascii="Arial" w:hAnsi="Arial" w:cs="Arial"/>
        </w:rPr>
      </w:pPr>
      <w:r>
        <w:rPr>
          <w:rFonts w:ascii="Arial" w:hAnsi="Arial" w:cs="Arial"/>
        </w:rPr>
        <w:t xml:space="preserve">El programa presupuestario que presenta mayor porcentaje de ejecución de su presupuesto es el Administrativo, con un 78,4%, en tanto en el programa Académico se ejecutó un 72,3%, y en el programa Vida Universitaria un 76,6%. </w:t>
      </w:r>
    </w:p>
    <w:p w:rsidR="00F87902" w:rsidRDefault="00F87902">
      <w:pPr>
        <w:spacing w:line="360" w:lineRule="auto"/>
        <w:jc w:val="both"/>
        <w:rPr>
          <w:rFonts w:ascii="Arial" w:hAnsi="Arial" w:cs="Arial"/>
        </w:rPr>
      </w:pPr>
    </w:p>
    <w:p w:rsidR="00F87902" w:rsidRDefault="00A519F9">
      <w:pPr>
        <w:rPr>
          <w:rFonts w:ascii="Arial" w:hAnsi="Arial" w:cs="Arial"/>
          <w:b/>
        </w:rPr>
      </w:pPr>
      <w:r>
        <w:rPr>
          <w:rFonts w:ascii="Arial" w:hAnsi="Arial" w:cs="Arial"/>
          <w:b/>
        </w:rPr>
        <w:t>Comparación con ejercicios anteriores.</w:t>
      </w:r>
    </w:p>
    <w:p w:rsidR="00F87902" w:rsidRDefault="00F87902">
      <w:pPr>
        <w:spacing w:line="360" w:lineRule="auto"/>
        <w:jc w:val="both"/>
        <w:rPr>
          <w:rFonts w:ascii="Arial" w:hAnsi="Arial" w:cs="Arial"/>
          <w:sz w:val="12"/>
          <w:szCs w:val="12"/>
        </w:rPr>
      </w:pPr>
    </w:p>
    <w:p w:rsidR="00F87902" w:rsidRDefault="00A519F9">
      <w:pPr>
        <w:jc w:val="center"/>
        <w:rPr>
          <w:rFonts w:ascii="Arial" w:hAnsi="Arial" w:cs="Arial"/>
          <w:b/>
        </w:rPr>
      </w:pPr>
      <w:r>
        <w:rPr>
          <w:rFonts w:ascii="Arial" w:hAnsi="Arial" w:cs="Arial"/>
          <w:b/>
        </w:rPr>
        <w:t>GRÁFICO N°2</w:t>
      </w:r>
    </w:p>
    <w:p w:rsidR="00F87902" w:rsidRDefault="00F87902">
      <w:pPr>
        <w:jc w:val="center"/>
        <w:rPr>
          <w:rFonts w:ascii="Arial" w:hAnsi="Arial" w:cs="Arial"/>
          <w:b/>
          <w:sz w:val="12"/>
          <w:szCs w:val="12"/>
        </w:rPr>
      </w:pPr>
    </w:p>
    <w:p w:rsidR="00F87902" w:rsidRDefault="00A519F9">
      <w:pPr>
        <w:jc w:val="center"/>
        <w:rPr>
          <w:rFonts w:ascii="Arial" w:hAnsi="Arial" w:cs="Arial"/>
          <w:b/>
        </w:rPr>
      </w:pPr>
      <w:r>
        <w:rPr>
          <w:rFonts w:ascii="Arial" w:hAnsi="Arial" w:cs="Arial"/>
          <w:b/>
        </w:rPr>
        <w:t>EJECUCIÓN PRESUPUESTARIA AL MES DE DICIEMBRE</w:t>
      </w:r>
    </w:p>
    <w:p w:rsidR="00F87902" w:rsidRDefault="00A519F9">
      <w:pPr>
        <w:jc w:val="center"/>
        <w:rPr>
          <w:rFonts w:ascii="Arial" w:hAnsi="Arial" w:cs="Arial"/>
          <w:b/>
        </w:rPr>
      </w:pPr>
      <w:r>
        <w:rPr>
          <w:rFonts w:ascii="Arial" w:hAnsi="Arial" w:cs="Arial"/>
          <w:b/>
        </w:rPr>
        <w:t>2011 – 2015</w:t>
      </w:r>
    </w:p>
    <w:p w:rsidR="00F87902" w:rsidRDefault="00F87902">
      <w:pPr>
        <w:jc w:val="center"/>
        <w:rPr>
          <w:rFonts w:ascii="Arial" w:hAnsi="Arial" w:cs="Arial"/>
          <w:b/>
          <w:color w:val="0070C0"/>
          <w:sz w:val="12"/>
          <w:szCs w:val="12"/>
        </w:rPr>
      </w:pPr>
    </w:p>
    <w:p w:rsidR="00F87902" w:rsidRDefault="00A519F9">
      <w:pPr>
        <w:jc w:val="center"/>
        <w:rPr>
          <w:rFonts w:ascii="Arial" w:hAnsi="Arial" w:cs="Arial"/>
          <w:b/>
          <w:color w:val="0070C0"/>
        </w:rPr>
      </w:pPr>
      <w:r>
        <w:rPr>
          <w:noProof/>
          <w:lang w:val="es-CR" w:eastAsia="es-CR"/>
        </w:rPr>
        <w:drawing>
          <wp:inline distT="0" distB="0" distL="0" distR="0">
            <wp:extent cx="4885690" cy="304863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7902" w:rsidRDefault="00A519F9">
      <w:pPr>
        <w:spacing w:line="360" w:lineRule="auto"/>
        <w:ind w:left="1134"/>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A519F9">
      <w:pPr>
        <w:spacing w:line="360" w:lineRule="auto"/>
        <w:jc w:val="both"/>
        <w:rPr>
          <w:rFonts w:ascii="Arial" w:hAnsi="Arial" w:cs="Arial"/>
        </w:rPr>
      </w:pPr>
      <w:r>
        <w:rPr>
          <w:rFonts w:ascii="Arial" w:hAnsi="Arial" w:cs="Arial"/>
          <w:lang w:val="es-CR"/>
        </w:rPr>
        <w:lastRenderedPageBreak/>
        <w:t xml:space="preserve">Al comparar las cifras porcentuales de ejecución de los últimos cuatro años, con corte a diciembre, se observa que en el 2015 el nivel de ejecución del 74,6% resulta inferior al del año </w:t>
      </w:r>
      <w:r w:rsidR="00E36019">
        <w:rPr>
          <w:rFonts w:ascii="Arial" w:hAnsi="Arial" w:cs="Arial"/>
          <w:lang w:val="es-CR"/>
        </w:rPr>
        <w:t>previo</w:t>
      </w:r>
      <w:r>
        <w:rPr>
          <w:rFonts w:ascii="Arial" w:hAnsi="Arial" w:cs="Arial"/>
          <w:lang w:val="es-CR"/>
        </w:rPr>
        <w:t xml:space="preserve">. Por otra parte, la ejecución en términos absolutos pasó de </w:t>
      </w:r>
      <w:r>
        <w:rPr>
          <w:rFonts w:ascii="Arial" w:hAnsi="Arial" w:cs="Arial"/>
          <w:lang w:eastAsia="es-CR"/>
        </w:rPr>
        <w:t>₡</w:t>
      </w:r>
      <w:r>
        <w:rPr>
          <w:rFonts w:ascii="Arial" w:hAnsi="Arial" w:cs="Arial"/>
        </w:rPr>
        <w:t xml:space="preserve">88.043,6 </w:t>
      </w:r>
      <w:r>
        <w:rPr>
          <w:rFonts w:ascii="Arial" w:hAnsi="Arial" w:cs="Arial"/>
          <w:lang w:val="es-CR" w:eastAsia="es-CR"/>
        </w:rPr>
        <w:t xml:space="preserve">millones en diciembre del 2014 a </w:t>
      </w:r>
      <w:r>
        <w:rPr>
          <w:rFonts w:ascii="Arial" w:hAnsi="Arial" w:cs="Arial"/>
          <w:lang w:eastAsia="es-CR"/>
        </w:rPr>
        <w:t>₡</w:t>
      </w:r>
      <w:r>
        <w:rPr>
          <w:rFonts w:ascii="Arial" w:hAnsi="Arial" w:cs="Arial"/>
        </w:rPr>
        <w:t>96.422,5</w:t>
      </w:r>
      <w:r>
        <w:rPr>
          <w:rFonts w:ascii="Arial" w:hAnsi="Arial" w:cs="Arial"/>
          <w:lang w:val="es-CR" w:eastAsia="es-CR"/>
        </w:rPr>
        <w:t xml:space="preserve"> millones en diciembre del 2015.</w:t>
      </w:r>
    </w:p>
    <w:p w:rsidR="00F87902" w:rsidRDefault="00A519F9">
      <w:pPr>
        <w:spacing w:line="360" w:lineRule="auto"/>
        <w:jc w:val="both"/>
        <w:rPr>
          <w:rFonts w:ascii="Arial" w:hAnsi="Arial" w:cs="Arial"/>
          <w:color w:val="0070C0"/>
        </w:rPr>
      </w:pPr>
      <w:r>
        <w:br w:type="page"/>
      </w:r>
    </w:p>
    <w:p w:rsidR="00F87902" w:rsidRDefault="00A519F9">
      <w:pPr>
        <w:pStyle w:val="Encabezado1"/>
        <w:spacing w:line="360" w:lineRule="auto"/>
        <w:jc w:val="left"/>
        <w:rPr>
          <w:rFonts w:ascii="Arial" w:hAnsi="Arial" w:cs="Arial"/>
          <w:sz w:val="24"/>
          <w:szCs w:val="24"/>
        </w:rPr>
      </w:pPr>
      <w:r>
        <w:rPr>
          <w:rFonts w:ascii="Arial" w:hAnsi="Arial" w:cs="Arial"/>
          <w:sz w:val="24"/>
          <w:szCs w:val="24"/>
        </w:rPr>
        <w:lastRenderedPageBreak/>
        <w:t>Grado de cumplimiento de objetivos y metas por programa presupuestario</w:t>
      </w:r>
      <w:bookmarkStart w:id="40" w:name="_Toc237747461"/>
      <w:bookmarkStart w:id="41" w:name="_Toc348683621"/>
      <w:bookmarkEnd w:id="40"/>
      <w:bookmarkEnd w:id="41"/>
      <w:r>
        <w:rPr>
          <w:rStyle w:val="Ancladenotaalpie"/>
          <w:rFonts w:ascii="Arial" w:hAnsi="Arial" w:cs="Arial"/>
          <w:sz w:val="24"/>
          <w:szCs w:val="24"/>
        </w:rPr>
        <w:footnoteReference w:id="3"/>
      </w:r>
      <w:r>
        <w:rPr>
          <w:rFonts w:ascii="Arial" w:hAnsi="Arial" w:cs="Arial"/>
          <w:sz w:val="16"/>
          <w:szCs w:val="16"/>
        </w:rPr>
        <w:t>.</w:t>
      </w:r>
    </w:p>
    <w:p w:rsidR="00F87902" w:rsidRDefault="00F87902">
      <w:pPr>
        <w:spacing w:line="360" w:lineRule="auto"/>
        <w:jc w:val="both"/>
        <w:rPr>
          <w:rFonts w:ascii="Arial" w:hAnsi="Arial" w:cs="Arial"/>
          <w:b/>
        </w:rPr>
      </w:pPr>
    </w:p>
    <w:p w:rsidR="00F87902" w:rsidRDefault="00A519F9">
      <w:pPr>
        <w:pStyle w:val="Encabezado1"/>
        <w:spacing w:line="360" w:lineRule="auto"/>
        <w:jc w:val="left"/>
        <w:rPr>
          <w:rFonts w:ascii="Arial" w:hAnsi="Arial" w:cs="Arial"/>
          <w:b w:val="0"/>
          <w:sz w:val="24"/>
          <w:szCs w:val="24"/>
          <w:u w:val="single"/>
        </w:rPr>
      </w:pPr>
      <w:bookmarkStart w:id="42" w:name="_Toc205107615"/>
      <w:bookmarkStart w:id="43" w:name="_Toc205107634"/>
      <w:bookmarkStart w:id="44" w:name="_Toc205106824"/>
      <w:bookmarkStart w:id="45" w:name="_Toc205107269"/>
      <w:bookmarkStart w:id="46" w:name="_Toc205107163"/>
      <w:bookmarkStart w:id="47" w:name="_Toc348683622"/>
      <w:bookmarkStart w:id="48" w:name="_Toc205106999"/>
      <w:bookmarkStart w:id="49" w:name="_Toc237747462"/>
      <w:bookmarkEnd w:id="42"/>
      <w:bookmarkEnd w:id="43"/>
      <w:bookmarkEnd w:id="44"/>
      <w:bookmarkEnd w:id="45"/>
      <w:bookmarkEnd w:id="46"/>
      <w:bookmarkEnd w:id="47"/>
      <w:bookmarkEnd w:id="48"/>
      <w:bookmarkEnd w:id="49"/>
      <w:r>
        <w:rPr>
          <w:rFonts w:ascii="Arial" w:hAnsi="Arial" w:cs="Arial"/>
          <w:b w:val="0"/>
          <w:sz w:val="24"/>
          <w:szCs w:val="24"/>
          <w:u w:val="single"/>
        </w:rPr>
        <w:t>Programa Académico:</w:t>
      </w:r>
    </w:p>
    <w:p w:rsidR="00F87902" w:rsidRDefault="00F87902">
      <w:pPr>
        <w:spacing w:line="360" w:lineRule="auto"/>
        <w:jc w:val="both"/>
        <w:rPr>
          <w:rFonts w:ascii="Arial" w:hAnsi="Arial" w:cs="Arial"/>
          <w:u w:val="single"/>
        </w:rPr>
      </w:pPr>
    </w:p>
    <w:p w:rsidR="00F87902" w:rsidRDefault="00A519F9">
      <w:pPr>
        <w:spacing w:line="360" w:lineRule="auto"/>
        <w:jc w:val="both"/>
        <w:rPr>
          <w:rFonts w:ascii="Arial" w:hAnsi="Arial" w:cs="Arial"/>
          <w:sz w:val="22"/>
          <w:szCs w:val="22"/>
        </w:rPr>
      </w:pPr>
      <w:r>
        <w:rPr>
          <w:rFonts w:ascii="Arial" w:hAnsi="Arial" w:cs="Arial"/>
        </w:rPr>
        <w:t>El programa Académico presenta una ejecución de ₡54.415,6 millones, la cual respecto del monto asignado (₡75</w:t>
      </w:r>
      <w:r>
        <w:rPr>
          <w:rFonts w:ascii="Arial" w:hAnsi="Arial" w:cs="Arial"/>
          <w:lang w:val="es-CR" w:eastAsia="es-CR"/>
        </w:rPr>
        <w:t xml:space="preserve">.217,5 </w:t>
      </w:r>
      <w:r>
        <w:rPr>
          <w:rFonts w:ascii="Arial" w:hAnsi="Arial" w:cs="Arial"/>
        </w:rPr>
        <w:t xml:space="preserve">millones) representa un porcentaje del </w:t>
      </w:r>
      <w:r>
        <w:rPr>
          <w:rFonts w:ascii="Arial" w:hAnsi="Arial" w:cs="Arial"/>
          <w:b/>
        </w:rPr>
        <w:t>72,3%</w:t>
      </w:r>
      <w:r>
        <w:rPr>
          <w:rFonts w:ascii="Arial" w:hAnsi="Arial" w:cs="Arial"/>
          <w:lang w:val="es-CR" w:eastAsia="es-CR"/>
        </w:rPr>
        <w:t>.</w:t>
      </w:r>
    </w:p>
    <w:p w:rsidR="00F87902" w:rsidRDefault="00F87902">
      <w:pPr>
        <w:jc w:val="both"/>
        <w:rPr>
          <w:rFonts w:ascii="Arial" w:hAnsi="Arial" w:cs="Arial"/>
          <w:bCs/>
          <w:lang w:val="es-CR" w:eastAsia="es-CR"/>
        </w:rPr>
      </w:pPr>
    </w:p>
    <w:p w:rsidR="00F87902" w:rsidRDefault="00A519F9">
      <w:pPr>
        <w:jc w:val="center"/>
        <w:rPr>
          <w:rFonts w:ascii="Arial" w:hAnsi="Arial" w:cs="Arial"/>
          <w:b/>
        </w:rPr>
      </w:pPr>
      <w:r>
        <w:rPr>
          <w:rFonts w:ascii="Arial" w:hAnsi="Arial" w:cs="Arial"/>
          <w:b/>
        </w:rPr>
        <w:t>GRÁFICO N</w:t>
      </w:r>
      <w:r>
        <w:rPr>
          <w:rFonts w:ascii="Arial" w:hAnsi="Arial" w:cs="Arial"/>
          <w:b/>
          <w:vertAlign w:val="superscript"/>
        </w:rPr>
        <w:t>o</w:t>
      </w:r>
      <w:r>
        <w:rPr>
          <w:rFonts w:ascii="Arial" w:hAnsi="Arial" w:cs="Arial"/>
          <w:b/>
        </w:rPr>
        <w:t>3</w:t>
      </w: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PROGRAMA ACADÉMICO</w:t>
      </w:r>
    </w:p>
    <w:p w:rsidR="00F87902" w:rsidRDefault="00A519F9">
      <w:pPr>
        <w:tabs>
          <w:tab w:val="left" w:pos="1890"/>
          <w:tab w:val="center" w:pos="4681"/>
        </w:tabs>
        <w:jc w:val="center"/>
        <w:rPr>
          <w:rFonts w:ascii="Arial" w:hAnsi="Arial" w:cs="Arial"/>
          <w:b/>
        </w:rPr>
      </w:pPr>
      <w:r>
        <w:rPr>
          <w:rFonts w:ascii="Arial" w:hAnsi="Arial" w:cs="Arial"/>
          <w:b/>
        </w:rPr>
        <w:t xml:space="preserve">ASIGNACIÓN Y EJECUCIÓN </w:t>
      </w:r>
    </w:p>
    <w:p w:rsidR="00F87902" w:rsidRDefault="00A519F9">
      <w:pPr>
        <w:tabs>
          <w:tab w:val="left" w:pos="1890"/>
          <w:tab w:val="center" w:pos="4681"/>
        </w:tabs>
        <w:jc w:val="center"/>
        <w:rPr>
          <w:rFonts w:ascii="Arial" w:hAnsi="Arial" w:cs="Arial"/>
        </w:rPr>
      </w:pPr>
      <w:r>
        <w:rPr>
          <w:rFonts w:ascii="Arial" w:hAnsi="Arial" w:cs="Arial"/>
        </w:rPr>
        <w:t xml:space="preserve">– </w:t>
      </w:r>
      <w:r>
        <w:rPr>
          <w:rFonts w:ascii="Arial" w:hAnsi="Arial" w:cs="Arial"/>
          <w:b/>
        </w:rPr>
        <w:t>Al 31 de diciembre del 2015</w:t>
      </w:r>
      <w:r>
        <w:rPr>
          <w:rFonts w:ascii="Arial" w:hAnsi="Arial" w:cs="Arial"/>
        </w:rPr>
        <w:t>–</w:t>
      </w:r>
    </w:p>
    <w:p w:rsidR="00F87902" w:rsidRDefault="00A519F9">
      <w:pPr>
        <w:tabs>
          <w:tab w:val="left" w:pos="1890"/>
          <w:tab w:val="center" w:pos="4681"/>
        </w:tabs>
        <w:jc w:val="center"/>
        <w:rPr>
          <w:rFonts w:ascii="Arial" w:hAnsi="Arial" w:cs="Arial"/>
          <w:b/>
        </w:rPr>
      </w:pPr>
      <w:r>
        <w:rPr>
          <w:noProof/>
          <w:lang w:val="es-CR" w:eastAsia="es-CR"/>
        </w:rPr>
        <w:drawing>
          <wp:inline distT="0" distB="0" distL="0" distR="0">
            <wp:extent cx="4227195" cy="2772410"/>
            <wp:effectExtent l="0" t="0" r="1905"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7902" w:rsidRDefault="00F87902">
      <w:pPr>
        <w:tabs>
          <w:tab w:val="left" w:pos="1890"/>
          <w:tab w:val="center" w:pos="4681"/>
        </w:tabs>
        <w:jc w:val="center"/>
        <w:rPr>
          <w:rFonts w:ascii="Arial" w:hAnsi="Arial" w:cs="Arial"/>
          <w:b/>
          <w:color w:val="0070C0"/>
        </w:rPr>
      </w:pPr>
    </w:p>
    <w:p w:rsidR="00F87902" w:rsidRDefault="00A519F9">
      <w:pPr>
        <w:spacing w:line="360" w:lineRule="auto"/>
        <w:ind w:left="1134"/>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En el cuadro que se presenta seguidamente se puede observar el grado de ejecución porcentual de cada uno de los objetivos del Programa Académico al 31 de diciembre del 2015.</w:t>
      </w:r>
    </w:p>
    <w:p w:rsidR="00F87902" w:rsidRDefault="00F87902">
      <w:pPr>
        <w:spacing w:line="360" w:lineRule="auto"/>
        <w:jc w:val="both"/>
        <w:rPr>
          <w:rFonts w:ascii="Arial" w:hAnsi="Arial" w:cs="Arial"/>
        </w:rPr>
      </w:pPr>
    </w:p>
    <w:p w:rsidR="00F87902" w:rsidRDefault="00A519F9">
      <w:pPr>
        <w:jc w:val="center"/>
        <w:rPr>
          <w:rFonts w:ascii="Arial" w:hAnsi="Arial" w:cs="Arial"/>
          <w:b/>
          <w:color w:val="0070C0"/>
        </w:rPr>
      </w:pPr>
      <w:r>
        <w:br w:type="page"/>
      </w:r>
    </w:p>
    <w:p w:rsidR="00F87902" w:rsidRDefault="00A519F9">
      <w:pPr>
        <w:jc w:val="center"/>
        <w:rPr>
          <w:rFonts w:ascii="Arial" w:hAnsi="Arial" w:cs="Arial"/>
          <w:b/>
        </w:rPr>
      </w:pPr>
      <w:r>
        <w:rPr>
          <w:rFonts w:ascii="Arial" w:hAnsi="Arial" w:cs="Arial"/>
          <w:b/>
        </w:rPr>
        <w:lastRenderedPageBreak/>
        <w:t>CUADRO N°2</w:t>
      </w:r>
    </w:p>
    <w:p w:rsidR="00F87902" w:rsidRDefault="00A519F9">
      <w:pPr>
        <w:jc w:val="center"/>
        <w:rPr>
          <w:rFonts w:ascii="Arial" w:hAnsi="Arial" w:cs="Arial"/>
          <w:b/>
        </w:rPr>
      </w:pPr>
      <w:r>
        <w:rPr>
          <w:rFonts w:ascii="Arial" w:hAnsi="Arial" w:cs="Arial"/>
          <w:b/>
        </w:rPr>
        <w:t>PROGRAMA ACADÉMICO</w:t>
      </w:r>
    </w:p>
    <w:p w:rsidR="00F87902" w:rsidRDefault="00F87902">
      <w:pPr>
        <w:jc w:val="center"/>
        <w:rPr>
          <w:rFonts w:ascii="Arial" w:hAnsi="Arial" w:cs="Arial"/>
          <w:b/>
          <w:sz w:val="12"/>
          <w:szCs w:val="12"/>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sz w:val="12"/>
          <w:szCs w:val="12"/>
        </w:rPr>
      </w:pPr>
    </w:p>
    <w:tbl>
      <w:tblPr>
        <w:tblW w:w="8720" w:type="dxa"/>
        <w:jc w:val="center"/>
        <w:tblBorders>
          <w:top w:val="single" w:sz="18" w:space="0" w:color="00000A"/>
        </w:tblBorders>
        <w:tblLook w:val="04A0"/>
      </w:tblPr>
      <w:tblGrid>
        <w:gridCol w:w="1421"/>
        <w:gridCol w:w="1307"/>
        <w:gridCol w:w="2482"/>
        <w:gridCol w:w="238"/>
        <w:gridCol w:w="1814"/>
        <w:gridCol w:w="1458"/>
      </w:tblGrid>
      <w:tr w:rsidR="00F87902">
        <w:trPr>
          <w:jc w:val="center"/>
        </w:trPr>
        <w:tc>
          <w:tcPr>
            <w:tcW w:w="1422" w:type="dxa"/>
            <w:vMerge w:val="restart"/>
            <w:tcBorders>
              <w:top w:val="single" w:sz="18"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 xml:space="preserve">Objetivos </w:t>
            </w:r>
          </w:p>
        </w:tc>
        <w:tc>
          <w:tcPr>
            <w:tcW w:w="3789"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Presupuesto</w:t>
            </w:r>
          </w:p>
        </w:tc>
        <w:tc>
          <w:tcPr>
            <w:tcW w:w="236" w:type="dxa"/>
            <w:tcBorders>
              <w:top w:val="single" w:sz="18" w:space="0" w:color="00000A"/>
            </w:tcBorders>
            <w:shd w:val="clear" w:color="auto" w:fill="auto"/>
          </w:tcPr>
          <w:p w:rsidR="00F87902" w:rsidRDefault="00F87902">
            <w:pPr>
              <w:jc w:val="center"/>
              <w:rPr>
                <w:rFonts w:ascii="Arial" w:hAnsi="Arial" w:cs="Arial"/>
                <w:b/>
                <w:sz w:val="22"/>
                <w:szCs w:val="22"/>
              </w:rPr>
            </w:pPr>
          </w:p>
        </w:tc>
        <w:tc>
          <w:tcPr>
            <w:tcW w:w="3272"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Ejecución</w:t>
            </w:r>
          </w:p>
        </w:tc>
      </w:tr>
      <w:tr w:rsidR="00F87902">
        <w:trPr>
          <w:jc w:val="center"/>
        </w:trPr>
        <w:tc>
          <w:tcPr>
            <w:tcW w:w="1422"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sz w:val="22"/>
                <w:szCs w:val="22"/>
              </w:rPr>
            </w:pPr>
          </w:p>
        </w:tc>
        <w:tc>
          <w:tcPr>
            <w:tcW w:w="1307"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2"/>
                <w:szCs w:val="22"/>
                <w:vertAlign w:val="superscript"/>
              </w:rPr>
            </w:pPr>
            <w:r>
              <w:rPr>
                <w:rFonts w:ascii="Arial" w:hAnsi="Arial" w:cs="Arial"/>
                <w:b/>
                <w:sz w:val="22"/>
                <w:szCs w:val="22"/>
              </w:rPr>
              <w:t>Inicial</w:t>
            </w:r>
            <w:r>
              <w:rPr>
                <w:rFonts w:ascii="Arial" w:hAnsi="Arial" w:cs="Arial"/>
                <w:b/>
                <w:sz w:val="22"/>
                <w:szCs w:val="22"/>
                <w:vertAlign w:val="superscript"/>
              </w:rPr>
              <w:t>(1)</w:t>
            </w:r>
          </w:p>
        </w:tc>
        <w:tc>
          <w:tcPr>
            <w:tcW w:w="2482"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2"/>
                <w:szCs w:val="22"/>
                <w:vertAlign w:val="superscript"/>
              </w:rPr>
            </w:pPr>
            <w:r>
              <w:rPr>
                <w:rFonts w:ascii="Arial" w:hAnsi="Arial" w:cs="Arial"/>
                <w:b/>
                <w:sz w:val="22"/>
                <w:szCs w:val="22"/>
              </w:rPr>
              <w:t>Modificado</w:t>
            </w:r>
            <w:r>
              <w:rPr>
                <w:rFonts w:ascii="Arial" w:hAnsi="Arial" w:cs="Arial"/>
                <w:b/>
                <w:sz w:val="22"/>
                <w:szCs w:val="22"/>
                <w:vertAlign w:val="superscript"/>
              </w:rPr>
              <w:t>(2)</w:t>
            </w:r>
          </w:p>
        </w:tc>
        <w:tc>
          <w:tcPr>
            <w:tcW w:w="238" w:type="dxa"/>
            <w:tcBorders>
              <w:top w:val="single" w:sz="12" w:space="0" w:color="00000A"/>
              <w:bottom w:val="single" w:sz="12" w:space="0" w:color="00000A"/>
            </w:tcBorders>
            <w:shd w:val="clear" w:color="auto" w:fill="auto"/>
          </w:tcPr>
          <w:p w:rsidR="00F87902" w:rsidRDefault="00F87902">
            <w:pPr>
              <w:jc w:val="center"/>
              <w:rPr>
                <w:rFonts w:ascii="Arial" w:hAnsi="Arial" w:cs="Arial"/>
                <w:b/>
                <w:sz w:val="22"/>
                <w:szCs w:val="22"/>
              </w:rPr>
            </w:pPr>
          </w:p>
        </w:tc>
        <w:tc>
          <w:tcPr>
            <w:tcW w:w="1814"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Absoluto</w:t>
            </w:r>
          </w:p>
        </w:tc>
        <w:tc>
          <w:tcPr>
            <w:tcW w:w="1456"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2"/>
                <w:szCs w:val="22"/>
                <w:vertAlign w:val="superscript"/>
              </w:rPr>
            </w:pPr>
            <w:r>
              <w:rPr>
                <w:rFonts w:ascii="Arial" w:hAnsi="Arial" w:cs="Arial"/>
                <w:b/>
                <w:sz w:val="22"/>
                <w:szCs w:val="22"/>
              </w:rPr>
              <w:t>Relativo</w:t>
            </w:r>
            <w:r>
              <w:rPr>
                <w:rFonts w:ascii="Arial" w:hAnsi="Arial" w:cs="Arial"/>
                <w:b/>
                <w:sz w:val="22"/>
                <w:szCs w:val="22"/>
                <w:vertAlign w:val="superscript"/>
              </w:rPr>
              <w:t>(3)</w:t>
            </w:r>
          </w:p>
        </w:tc>
      </w:tr>
      <w:tr w:rsidR="00F87902">
        <w:trPr>
          <w:jc w:val="center"/>
        </w:trPr>
        <w:tc>
          <w:tcPr>
            <w:tcW w:w="1422" w:type="dxa"/>
            <w:tcBorders>
              <w:top w:val="single" w:sz="12"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1</w:t>
            </w:r>
          </w:p>
        </w:tc>
        <w:tc>
          <w:tcPr>
            <w:tcW w:w="1307" w:type="dxa"/>
            <w:tcBorders>
              <w:top w:val="single" w:sz="12" w:space="0" w:color="00000A"/>
            </w:tcBorders>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23.717,5</w:t>
            </w:r>
          </w:p>
        </w:tc>
        <w:tc>
          <w:tcPr>
            <w:tcW w:w="2482" w:type="dxa"/>
            <w:tcBorders>
              <w:top w:val="single" w:sz="12" w:space="0" w:color="00000A"/>
            </w:tcBorders>
            <w:shd w:val="clear" w:color="auto" w:fill="auto"/>
            <w:vAlign w:val="bottom"/>
          </w:tcPr>
          <w:p w:rsidR="00F87902" w:rsidRDefault="00A519F9">
            <w:pPr>
              <w:ind w:right="850"/>
              <w:jc w:val="right"/>
              <w:rPr>
                <w:rFonts w:ascii="Arial" w:hAnsi="Arial" w:cs="Arial"/>
                <w:sz w:val="20"/>
                <w:szCs w:val="20"/>
              </w:rPr>
            </w:pPr>
            <w:r>
              <w:rPr>
                <w:rFonts w:ascii="Arial" w:hAnsi="Arial" w:cs="Arial"/>
                <w:sz w:val="20"/>
                <w:szCs w:val="20"/>
              </w:rPr>
              <w:t>23.605,6</w:t>
            </w:r>
          </w:p>
        </w:tc>
        <w:tc>
          <w:tcPr>
            <w:tcW w:w="238" w:type="dxa"/>
            <w:tcBorders>
              <w:top w:val="single" w:sz="12" w:space="0" w:color="00000A"/>
            </w:tcBorders>
            <w:shd w:val="clear" w:color="auto" w:fill="auto"/>
          </w:tcPr>
          <w:p w:rsidR="00F87902" w:rsidRDefault="00F87902">
            <w:pPr>
              <w:ind w:right="454"/>
              <w:jc w:val="center"/>
              <w:rPr>
                <w:rFonts w:ascii="Arial" w:hAnsi="Arial" w:cs="Arial"/>
                <w:bCs/>
                <w:sz w:val="20"/>
                <w:szCs w:val="20"/>
              </w:rPr>
            </w:pPr>
          </w:p>
        </w:tc>
        <w:tc>
          <w:tcPr>
            <w:tcW w:w="1814" w:type="dxa"/>
            <w:tcBorders>
              <w:top w:val="single" w:sz="12" w:space="0" w:color="00000A"/>
            </w:tcBorders>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21.823,4</w:t>
            </w:r>
          </w:p>
        </w:tc>
        <w:tc>
          <w:tcPr>
            <w:tcW w:w="1456" w:type="dxa"/>
            <w:tcBorders>
              <w:top w:val="single" w:sz="12" w:space="0" w:color="00000A"/>
            </w:tcBorders>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92,4%</w:t>
            </w:r>
          </w:p>
        </w:tc>
      </w:tr>
      <w:tr w:rsidR="00F87902">
        <w:trPr>
          <w:jc w:val="center"/>
        </w:trPr>
        <w:tc>
          <w:tcPr>
            <w:tcW w:w="1422" w:type="dxa"/>
            <w:shd w:val="clear" w:color="auto" w:fill="auto"/>
          </w:tcPr>
          <w:p w:rsidR="00F87902" w:rsidRDefault="00A519F9">
            <w:pPr>
              <w:jc w:val="center"/>
              <w:rPr>
                <w:rFonts w:ascii="Arial" w:hAnsi="Arial" w:cs="Arial"/>
                <w:b/>
                <w:sz w:val="22"/>
                <w:szCs w:val="22"/>
              </w:rPr>
            </w:pPr>
            <w:r>
              <w:rPr>
                <w:rFonts w:ascii="Arial" w:hAnsi="Arial" w:cs="Arial"/>
                <w:b/>
                <w:sz w:val="22"/>
                <w:szCs w:val="22"/>
              </w:rPr>
              <w:t>2</w:t>
            </w:r>
          </w:p>
        </w:tc>
        <w:tc>
          <w:tcPr>
            <w:tcW w:w="1307"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4.392,6</w:t>
            </w:r>
          </w:p>
        </w:tc>
        <w:tc>
          <w:tcPr>
            <w:tcW w:w="2482" w:type="dxa"/>
            <w:shd w:val="clear" w:color="auto" w:fill="auto"/>
            <w:vAlign w:val="bottom"/>
          </w:tcPr>
          <w:p w:rsidR="00F87902" w:rsidRDefault="00A519F9">
            <w:pPr>
              <w:ind w:right="850"/>
              <w:jc w:val="right"/>
              <w:rPr>
                <w:rFonts w:ascii="Arial" w:hAnsi="Arial" w:cs="Arial"/>
                <w:sz w:val="20"/>
                <w:szCs w:val="20"/>
              </w:rPr>
            </w:pPr>
            <w:r>
              <w:rPr>
                <w:rFonts w:ascii="Arial" w:hAnsi="Arial" w:cs="Arial"/>
                <w:sz w:val="20"/>
                <w:szCs w:val="20"/>
              </w:rPr>
              <w:t>10.619,4</w:t>
            </w:r>
          </w:p>
        </w:tc>
        <w:tc>
          <w:tcPr>
            <w:tcW w:w="238" w:type="dxa"/>
            <w:shd w:val="clear" w:color="auto" w:fill="auto"/>
          </w:tcPr>
          <w:p w:rsidR="00F87902" w:rsidRDefault="00F87902">
            <w:pPr>
              <w:ind w:right="454"/>
              <w:jc w:val="center"/>
              <w:rPr>
                <w:rFonts w:ascii="Arial" w:hAnsi="Arial" w:cs="Arial"/>
                <w:sz w:val="20"/>
                <w:szCs w:val="20"/>
              </w:rPr>
            </w:pPr>
          </w:p>
        </w:tc>
        <w:tc>
          <w:tcPr>
            <w:tcW w:w="1814"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996,1</w:t>
            </w:r>
          </w:p>
        </w:tc>
        <w:tc>
          <w:tcPr>
            <w:tcW w:w="1456"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9,4%</w:t>
            </w:r>
          </w:p>
        </w:tc>
      </w:tr>
      <w:tr w:rsidR="00F87902">
        <w:trPr>
          <w:jc w:val="center"/>
        </w:trPr>
        <w:tc>
          <w:tcPr>
            <w:tcW w:w="1422" w:type="dxa"/>
            <w:shd w:val="clear" w:color="auto" w:fill="auto"/>
          </w:tcPr>
          <w:p w:rsidR="00F87902" w:rsidRDefault="00A519F9">
            <w:pPr>
              <w:jc w:val="center"/>
              <w:rPr>
                <w:rFonts w:ascii="Arial" w:hAnsi="Arial" w:cs="Arial"/>
                <w:b/>
                <w:sz w:val="22"/>
                <w:szCs w:val="22"/>
              </w:rPr>
            </w:pPr>
            <w:r>
              <w:rPr>
                <w:rFonts w:ascii="Arial" w:hAnsi="Arial" w:cs="Arial"/>
                <w:b/>
                <w:sz w:val="22"/>
                <w:szCs w:val="22"/>
              </w:rPr>
              <w:t>3</w:t>
            </w:r>
          </w:p>
        </w:tc>
        <w:tc>
          <w:tcPr>
            <w:tcW w:w="1307"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10.565,9</w:t>
            </w:r>
          </w:p>
        </w:tc>
        <w:tc>
          <w:tcPr>
            <w:tcW w:w="2482" w:type="dxa"/>
            <w:shd w:val="clear" w:color="auto" w:fill="auto"/>
            <w:vAlign w:val="bottom"/>
          </w:tcPr>
          <w:p w:rsidR="00F87902" w:rsidRDefault="00A519F9">
            <w:pPr>
              <w:ind w:right="850"/>
              <w:jc w:val="right"/>
              <w:rPr>
                <w:rFonts w:ascii="Arial" w:hAnsi="Arial" w:cs="Arial"/>
                <w:sz w:val="20"/>
                <w:szCs w:val="20"/>
              </w:rPr>
            </w:pPr>
            <w:r>
              <w:rPr>
                <w:rFonts w:ascii="Arial" w:hAnsi="Arial" w:cs="Arial"/>
                <w:sz w:val="20"/>
                <w:szCs w:val="20"/>
              </w:rPr>
              <w:t>10.870,9</w:t>
            </w:r>
          </w:p>
        </w:tc>
        <w:tc>
          <w:tcPr>
            <w:tcW w:w="238" w:type="dxa"/>
            <w:shd w:val="clear" w:color="auto" w:fill="auto"/>
          </w:tcPr>
          <w:p w:rsidR="00F87902" w:rsidRDefault="00F87902">
            <w:pPr>
              <w:ind w:right="454"/>
              <w:jc w:val="center"/>
              <w:rPr>
                <w:rFonts w:ascii="Arial" w:hAnsi="Arial" w:cs="Arial"/>
                <w:sz w:val="20"/>
                <w:szCs w:val="20"/>
              </w:rPr>
            </w:pPr>
          </w:p>
        </w:tc>
        <w:tc>
          <w:tcPr>
            <w:tcW w:w="1814"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9.786,6</w:t>
            </w:r>
          </w:p>
        </w:tc>
        <w:tc>
          <w:tcPr>
            <w:tcW w:w="1456"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90,0%</w:t>
            </w:r>
          </w:p>
        </w:tc>
      </w:tr>
      <w:tr w:rsidR="00F87902">
        <w:trPr>
          <w:jc w:val="center"/>
        </w:trPr>
        <w:tc>
          <w:tcPr>
            <w:tcW w:w="1422" w:type="dxa"/>
            <w:shd w:val="clear" w:color="auto" w:fill="auto"/>
          </w:tcPr>
          <w:p w:rsidR="00F87902" w:rsidRDefault="00A519F9">
            <w:pPr>
              <w:jc w:val="center"/>
              <w:rPr>
                <w:rFonts w:ascii="Arial" w:hAnsi="Arial" w:cs="Arial"/>
                <w:b/>
                <w:sz w:val="22"/>
                <w:szCs w:val="22"/>
              </w:rPr>
            </w:pPr>
            <w:r>
              <w:rPr>
                <w:rFonts w:ascii="Arial" w:hAnsi="Arial" w:cs="Arial"/>
                <w:b/>
                <w:sz w:val="22"/>
                <w:szCs w:val="22"/>
              </w:rPr>
              <w:t>4</w:t>
            </w:r>
          </w:p>
        </w:tc>
        <w:tc>
          <w:tcPr>
            <w:tcW w:w="1307"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7.206,0</w:t>
            </w:r>
          </w:p>
        </w:tc>
        <w:tc>
          <w:tcPr>
            <w:tcW w:w="2482" w:type="dxa"/>
            <w:shd w:val="clear" w:color="auto" w:fill="auto"/>
            <w:vAlign w:val="bottom"/>
          </w:tcPr>
          <w:p w:rsidR="00F87902" w:rsidRDefault="00A519F9">
            <w:pPr>
              <w:ind w:right="850"/>
              <w:jc w:val="right"/>
              <w:rPr>
                <w:rFonts w:ascii="Arial" w:hAnsi="Arial" w:cs="Arial"/>
                <w:sz w:val="20"/>
                <w:szCs w:val="20"/>
              </w:rPr>
            </w:pPr>
            <w:r>
              <w:rPr>
                <w:rFonts w:ascii="Arial" w:hAnsi="Arial" w:cs="Arial"/>
                <w:sz w:val="20"/>
                <w:szCs w:val="20"/>
              </w:rPr>
              <w:t>8.022,6</w:t>
            </w:r>
          </w:p>
        </w:tc>
        <w:tc>
          <w:tcPr>
            <w:tcW w:w="238" w:type="dxa"/>
            <w:shd w:val="clear" w:color="auto" w:fill="auto"/>
          </w:tcPr>
          <w:p w:rsidR="00F87902" w:rsidRDefault="00F87902">
            <w:pPr>
              <w:ind w:right="454"/>
              <w:jc w:val="center"/>
              <w:rPr>
                <w:rFonts w:ascii="Arial" w:hAnsi="Arial" w:cs="Arial"/>
                <w:sz w:val="20"/>
                <w:szCs w:val="20"/>
              </w:rPr>
            </w:pPr>
          </w:p>
        </w:tc>
        <w:tc>
          <w:tcPr>
            <w:tcW w:w="1814"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6.798,3</w:t>
            </w:r>
          </w:p>
        </w:tc>
        <w:tc>
          <w:tcPr>
            <w:tcW w:w="1456"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84,7%</w:t>
            </w:r>
          </w:p>
        </w:tc>
      </w:tr>
      <w:tr w:rsidR="00F87902">
        <w:trPr>
          <w:jc w:val="center"/>
        </w:trPr>
        <w:tc>
          <w:tcPr>
            <w:tcW w:w="1422" w:type="dxa"/>
            <w:shd w:val="clear" w:color="auto" w:fill="auto"/>
          </w:tcPr>
          <w:p w:rsidR="00F87902" w:rsidRDefault="00A519F9">
            <w:pPr>
              <w:jc w:val="center"/>
              <w:rPr>
                <w:rFonts w:ascii="Arial" w:hAnsi="Arial" w:cs="Arial"/>
                <w:b/>
                <w:sz w:val="22"/>
                <w:szCs w:val="22"/>
              </w:rPr>
            </w:pPr>
            <w:r>
              <w:rPr>
                <w:rFonts w:ascii="Arial" w:hAnsi="Arial" w:cs="Arial"/>
                <w:b/>
                <w:sz w:val="22"/>
                <w:szCs w:val="22"/>
              </w:rPr>
              <w:t>5</w:t>
            </w:r>
          </w:p>
        </w:tc>
        <w:tc>
          <w:tcPr>
            <w:tcW w:w="1307"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19.031,4</w:t>
            </w:r>
          </w:p>
        </w:tc>
        <w:tc>
          <w:tcPr>
            <w:tcW w:w="2482" w:type="dxa"/>
            <w:shd w:val="clear" w:color="auto" w:fill="auto"/>
            <w:vAlign w:val="bottom"/>
          </w:tcPr>
          <w:p w:rsidR="00F87902" w:rsidRDefault="00A519F9">
            <w:pPr>
              <w:ind w:right="850"/>
              <w:jc w:val="right"/>
              <w:rPr>
                <w:rFonts w:ascii="Arial" w:hAnsi="Arial" w:cs="Arial"/>
                <w:sz w:val="20"/>
                <w:szCs w:val="20"/>
              </w:rPr>
            </w:pPr>
            <w:r>
              <w:rPr>
                <w:rFonts w:ascii="Arial" w:hAnsi="Arial" w:cs="Arial"/>
                <w:sz w:val="20"/>
                <w:szCs w:val="20"/>
              </w:rPr>
              <w:t>22.099,0</w:t>
            </w:r>
          </w:p>
        </w:tc>
        <w:tc>
          <w:tcPr>
            <w:tcW w:w="238" w:type="dxa"/>
            <w:shd w:val="clear" w:color="auto" w:fill="auto"/>
          </w:tcPr>
          <w:p w:rsidR="00F87902" w:rsidRDefault="00F87902">
            <w:pPr>
              <w:ind w:right="454"/>
              <w:jc w:val="center"/>
              <w:rPr>
                <w:rFonts w:ascii="Arial" w:hAnsi="Arial" w:cs="Arial"/>
                <w:sz w:val="20"/>
                <w:szCs w:val="20"/>
              </w:rPr>
            </w:pPr>
          </w:p>
        </w:tc>
        <w:tc>
          <w:tcPr>
            <w:tcW w:w="1814"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15.011,2</w:t>
            </w:r>
          </w:p>
        </w:tc>
        <w:tc>
          <w:tcPr>
            <w:tcW w:w="1456" w:type="dxa"/>
            <w:shd w:val="clear" w:color="auto" w:fill="auto"/>
            <w:vAlign w:val="bottom"/>
          </w:tcPr>
          <w:p w:rsidR="00F87902" w:rsidRDefault="00A519F9">
            <w:pPr>
              <w:ind w:right="227"/>
              <w:jc w:val="right"/>
              <w:rPr>
                <w:rFonts w:ascii="Arial" w:hAnsi="Arial" w:cs="Arial"/>
                <w:sz w:val="20"/>
                <w:szCs w:val="20"/>
              </w:rPr>
            </w:pPr>
            <w:r>
              <w:rPr>
                <w:rFonts w:ascii="Arial" w:hAnsi="Arial" w:cs="Arial"/>
                <w:sz w:val="20"/>
                <w:szCs w:val="20"/>
              </w:rPr>
              <w:t>67,9%</w:t>
            </w:r>
          </w:p>
        </w:tc>
      </w:tr>
      <w:tr w:rsidR="00F87902">
        <w:trPr>
          <w:jc w:val="center"/>
        </w:trPr>
        <w:tc>
          <w:tcPr>
            <w:tcW w:w="1422" w:type="dxa"/>
            <w:shd w:val="clear" w:color="auto" w:fill="auto"/>
          </w:tcPr>
          <w:p w:rsidR="00F87902" w:rsidRDefault="00F87902">
            <w:pPr>
              <w:jc w:val="center"/>
              <w:rPr>
                <w:rFonts w:ascii="Arial" w:hAnsi="Arial" w:cs="Arial"/>
                <w:b/>
                <w:sz w:val="22"/>
                <w:szCs w:val="22"/>
              </w:rPr>
            </w:pPr>
          </w:p>
        </w:tc>
        <w:tc>
          <w:tcPr>
            <w:tcW w:w="1307" w:type="dxa"/>
            <w:shd w:val="clear" w:color="auto" w:fill="auto"/>
            <w:vAlign w:val="bottom"/>
          </w:tcPr>
          <w:p w:rsidR="00F87902" w:rsidRDefault="00F87902">
            <w:pPr>
              <w:ind w:right="227"/>
              <w:jc w:val="right"/>
              <w:rPr>
                <w:rFonts w:ascii="Arial" w:hAnsi="Arial" w:cs="Arial"/>
                <w:sz w:val="20"/>
                <w:szCs w:val="20"/>
              </w:rPr>
            </w:pPr>
          </w:p>
        </w:tc>
        <w:tc>
          <w:tcPr>
            <w:tcW w:w="2482" w:type="dxa"/>
            <w:shd w:val="clear" w:color="auto" w:fill="auto"/>
            <w:vAlign w:val="bottom"/>
          </w:tcPr>
          <w:p w:rsidR="00F87902" w:rsidRDefault="00F87902">
            <w:pPr>
              <w:ind w:right="850"/>
              <w:jc w:val="right"/>
              <w:rPr>
                <w:rFonts w:ascii="Arial" w:hAnsi="Arial" w:cs="Arial"/>
                <w:bCs/>
                <w:sz w:val="20"/>
                <w:szCs w:val="20"/>
              </w:rPr>
            </w:pPr>
          </w:p>
        </w:tc>
        <w:tc>
          <w:tcPr>
            <w:tcW w:w="238" w:type="dxa"/>
            <w:shd w:val="clear" w:color="auto" w:fill="auto"/>
          </w:tcPr>
          <w:p w:rsidR="00F87902" w:rsidRDefault="00F87902">
            <w:pPr>
              <w:ind w:right="454"/>
              <w:jc w:val="center"/>
              <w:rPr>
                <w:rFonts w:ascii="Arial" w:hAnsi="Arial" w:cs="Arial"/>
                <w:sz w:val="20"/>
                <w:szCs w:val="20"/>
              </w:rPr>
            </w:pPr>
          </w:p>
        </w:tc>
        <w:tc>
          <w:tcPr>
            <w:tcW w:w="1814" w:type="dxa"/>
            <w:shd w:val="clear" w:color="auto" w:fill="auto"/>
            <w:vAlign w:val="bottom"/>
          </w:tcPr>
          <w:p w:rsidR="00F87902" w:rsidRDefault="00F87902">
            <w:pPr>
              <w:ind w:right="227"/>
              <w:jc w:val="right"/>
              <w:rPr>
                <w:rFonts w:ascii="Arial" w:hAnsi="Arial" w:cs="Arial"/>
                <w:sz w:val="20"/>
                <w:szCs w:val="20"/>
              </w:rPr>
            </w:pPr>
          </w:p>
        </w:tc>
        <w:tc>
          <w:tcPr>
            <w:tcW w:w="1456" w:type="dxa"/>
            <w:shd w:val="clear" w:color="auto" w:fill="auto"/>
            <w:vAlign w:val="bottom"/>
          </w:tcPr>
          <w:p w:rsidR="00F87902" w:rsidRDefault="00F87902">
            <w:pPr>
              <w:ind w:right="227"/>
              <w:jc w:val="right"/>
              <w:rPr>
                <w:rFonts w:ascii="Arial" w:hAnsi="Arial" w:cs="Arial"/>
                <w:sz w:val="20"/>
                <w:szCs w:val="20"/>
              </w:rPr>
            </w:pPr>
          </w:p>
        </w:tc>
      </w:tr>
      <w:tr w:rsidR="00F87902">
        <w:trPr>
          <w:jc w:val="center"/>
        </w:trPr>
        <w:tc>
          <w:tcPr>
            <w:tcW w:w="1422"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2"/>
                <w:szCs w:val="22"/>
              </w:rPr>
            </w:pPr>
            <w:r>
              <w:rPr>
                <w:rFonts w:ascii="Arial" w:hAnsi="Arial" w:cs="Arial"/>
                <w:b/>
                <w:sz w:val="22"/>
                <w:szCs w:val="22"/>
              </w:rPr>
              <w:t>Total</w:t>
            </w:r>
          </w:p>
        </w:tc>
        <w:tc>
          <w:tcPr>
            <w:tcW w:w="1307" w:type="dxa"/>
            <w:tcBorders>
              <w:top w:val="single" w:sz="18" w:space="0" w:color="00000A"/>
              <w:bottom w:val="single" w:sz="18" w:space="0" w:color="00000A"/>
            </w:tcBorders>
            <w:shd w:val="clear" w:color="auto" w:fill="auto"/>
          </w:tcPr>
          <w:p w:rsidR="00F87902" w:rsidRDefault="00A519F9">
            <w:pPr>
              <w:ind w:right="227"/>
              <w:jc w:val="right"/>
              <w:rPr>
                <w:rFonts w:ascii="Arial" w:hAnsi="Arial" w:cs="Arial"/>
                <w:b/>
                <w:sz w:val="20"/>
                <w:szCs w:val="20"/>
              </w:rPr>
            </w:pPr>
            <w:r>
              <w:rPr>
                <w:rFonts w:ascii="Arial" w:hAnsi="Arial" w:cs="Arial"/>
                <w:b/>
                <w:sz w:val="20"/>
                <w:szCs w:val="20"/>
              </w:rPr>
              <w:t>64.913,4</w:t>
            </w:r>
          </w:p>
        </w:tc>
        <w:tc>
          <w:tcPr>
            <w:tcW w:w="2482" w:type="dxa"/>
            <w:tcBorders>
              <w:top w:val="single" w:sz="18" w:space="0" w:color="00000A"/>
              <w:bottom w:val="single" w:sz="18" w:space="0" w:color="00000A"/>
            </w:tcBorders>
            <w:shd w:val="clear" w:color="auto" w:fill="auto"/>
          </w:tcPr>
          <w:p w:rsidR="00F87902" w:rsidRDefault="00A519F9">
            <w:pPr>
              <w:ind w:right="850"/>
              <w:jc w:val="right"/>
              <w:rPr>
                <w:rFonts w:ascii="Arial" w:hAnsi="Arial" w:cs="Arial"/>
                <w:b/>
                <w:sz w:val="20"/>
                <w:szCs w:val="20"/>
              </w:rPr>
            </w:pPr>
            <w:r>
              <w:rPr>
                <w:rFonts w:ascii="Arial" w:hAnsi="Arial" w:cs="Arial"/>
                <w:b/>
                <w:sz w:val="20"/>
                <w:szCs w:val="20"/>
              </w:rPr>
              <w:t>75.217,5</w:t>
            </w:r>
          </w:p>
        </w:tc>
        <w:tc>
          <w:tcPr>
            <w:tcW w:w="238" w:type="dxa"/>
            <w:tcBorders>
              <w:top w:val="single" w:sz="18" w:space="0" w:color="00000A"/>
              <w:bottom w:val="single" w:sz="18" w:space="0" w:color="00000A"/>
            </w:tcBorders>
            <w:shd w:val="clear" w:color="auto" w:fill="auto"/>
          </w:tcPr>
          <w:p w:rsidR="00F87902" w:rsidRDefault="00F87902">
            <w:pPr>
              <w:ind w:right="454"/>
              <w:jc w:val="center"/>
              <w:rPr>
                <w:rFonts w:ascii="Arial" w:hAnsi="Arial" w:cs="Arial"/>
                <w:b/>
                <w:sz w:val="20"/>
                <w:szCs w:val="20"/>
              </w:rPr>
            </w:pPr>
          </w:p>
        </w:tc>
        <w:tc>
          <w:tcPr>
            <w:tcW w:w="1814" w:type="dxa"/>
            <w:tcBorders>
              <w:top w:val="single" w:sz="18" w:space="0" w:color="00000A"/>
              <w:bottom w:val="single" w:sz="18" w:space="0" w:color="00000A"/>
            </w:tcBorders>
            <w:shd w:val="clear" w:color="auto" w:fill="auto"/>
          </w:tcPr>
          <w:p w:rsidR="00F87902" w:rsidRDefault="00A519F9">
            <w:pPr>
              <w:ind w:right="227"/>
              <w:jc w:val="right"/>
              <w:rPr>
                <w:rFonts w:ascii="Arial" w:hAnsi="Arial" w:cs="Arial"/>
                <w:b/>
                <w:sz w:val="20"/>
                <w:szCs w:val="20"/>
              </w:rPr>
            </w:pPr>
            <w:r>
              <w:rPr>
                <w:rFonts w:ascii="Arial" w:hAnsi="Arial" w:cs="Arial"/>
                <w:b/>
                <w:sz w:val="20"/>
                <w:szCs w:val="20"/>
              </w:rPr>
              <w:t>54.415,6</w:t>
            </w:r>
          </w:p>
        </w:tc>
        <w:tc>
          <w:tcPr>
            <w:tcW w:w="1456" w:type="dxa"/>
            <w:tcBorders>
              <w:top w:val="single" w:sz="18" w:space="0" w:color="00000A"/>
              <w:bottom w:val="single" w:sz="18" w:space="0" w:color="00000A"/>
            </w:tcBorders>
            <w:shd w:val="clear" w:color="auto" w:fill="auto"/>
          </w:tcPr>
          <w:p w:rsidR="00F87902" w:rsidRDefault="00A519F9">
            <w:pPr>
              <w:ind w:right="227"/>
              <w:jc w:val="right"/>
              <w:rPr>
                <w:rFonts w:ascii="Arial" w:hAnsi="Arial" w:cs="Arial"/>
                <w:b/>
                <w:sz w:val="20"/>
                <w:szCs w:val="20"/>
              </w:rPr>
            </w:pPr>
            <w:r>
              <w:rPr>
                <w:rFonts w:ascii="Arial" w:hAnsi="Arial" w:cs="Arial"/>
                <w:b/>
                <w:sz w:val="20"/>
                <w:szCs w:val="20"/>
              </w:rPr>
              <w:t>72,3%</w:t>
            </w:r>
          </w:p>
        </w:tc>
      </w:tr>
    </w:tbl>
    <w:p w:rsidR="00F87902" w:rsidRDefault="00A519F9">
      <w:pPr>
        <w:ind w:left="284"/>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ind w:left="284"/>
        <w:jc w:val="both"/>
        <w:rPr>
          <w:rFonts w:ascii="Arial" w:hAnsi="Arial" w:cs="Arial"/>
          <w:sz w:val="18"/>
        </w:rPr>
      </w:pPr>
      <w:r>
        <w:rPr>
          <w:rFonts w:ascii="Arial" w:hAnsi="Arial" w:cs="Arial"/>
          <w:sz w:val="18"/>
        </w:rPr>
        <w:t>(2): Presupuesto modificado al 31 de diciembre del 2015.</w:t>
      </w:r>
    </w:p>
    <w:p w:rsidR="00F87902" w:rsidRDefault="00A519F9">
      <w:pPr>
        <w:ind w:left="284"/>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color w:val="0070C0"/>
          <w:sz w:val="18"/>
          <w:szCs w:val="18"/>
        </w:rPr>
      </w:pPr>
      <w:r>
        <w:rPr>
          <w:rFonts w:ascii="Arial" w:hAnsi="Arial" w:cs="Arial"/>
          <w:b/>
          <w:i/>
          <w:sz w:val="18"/>
          <w:szCs w:val="18"/>
        </w:rPr>
        <w:t>Fuente: Apeuna, con datos del Programa de Gestión Financiera.</w:t>
      </w:r>
    </w:p>
    <w:p w:rsidR="00F87902" w:rsidRDefault="00F87902">
      <w:pPr>
        <w:spacing w:line="360" w:lineRule="auto"/>
        <w:jc w:val="center"/>
        <w:rPr>
          <w:rFonts w:ascii="Arial" w:hAnsi="Arial" w:cs="Arial"/>
          <w:sz w:val="12"/>
          <w:szCs w:val="12"/>
        </w:rPr>
      </w:pPr>
    </w:p>
    <w:p w:rsidR="00F87902" w:rsidRDefault="00F87902">
      <w:pPr>
        <w:spacing w:line="360" w:lineRule="auto"/>
        <w:jc w:val="both"/>
        <w:rPr>
          <w:rFonts w:ascii="Arial" w:hAnsi="Arial" w:cs="Arial"/>
        </w:rPr>
      </w:pPr>
    </w:p>
    <w:p w:rsidR="00F87902" w:rsidRDefault="00A519F9">
      <w:pPr>
        <w:spacing w:line="360" w:lineRule="auto"/>
        <w:jc w:val="both"/>
        <w:rPr>
          <w:b/>
          <w:sz w:val="28"/>
          <w:u w:val="single"/>
        </w:rPr>
      </w:pPr>
      <w:r>
        <w:rPr>
          <w:rFonts w:ascii="Arial" w:hAnsi="Arial" w:cs="Arial"/>
        </w:rPr>
        <w:t>A continuación se presenta el resumen de ejecución del desempeño por objetivos y metas para el año 2015:</w:t>
      </w:r>
    </w:p>
    <w:p w:rsidR="00F87902" w:rsidRDefault="00F87902">
      <w:pPr>
        <w:spacing w:line="360" w:lineRule="auto"/>
        <w:jc w:val="both"/>
        <w:rPr>
          <w:rFonts w:ascii="Arial" w:hAnsi="Arial" w:cs="Arial"/>
          <w:b/>
          <w:sz w:val="12"/>
          <w:szCs w:val="12"/>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rPr>
      </w:pPr>
      <w:r>
        <w:rPr>
          <w:rFonts w:ascii="Arial" w:hAnsi="Arial" w:cs="Arial"/>
          <w:b/>
        </w:rPr>
        <w:t>OBJETIVO 1. Ofrecer planes de estudio en concordancia con los ejes transversales y el modelo pedagógico institucional, orientados a la atracción y la permanencia estudiantil.</w:t>
      </w:r>
    </w:p>
    <w:p w:rsidR="00F87902" w:rsidRDefault="00F87902">
      <w:pPr>
        <w:spacing w:line="360" w:lineRule="auto"/>
        <w:jc w:val="both"/>
        <w:rPr>
          <w:rFonts w:ascii="Arial" w:hAnsi="Arial" w:cs="Arial"/>
          <w:b/>
          <w:i/>
          <w:sz w:val="18"/>
          <w:szCs w:val="18"/>
        </w:rPr>
      </w:pPr>
    </w:p>
    <w:p w:rsidR="00F87902" w:rsidRDefault="00A519F9">
      <w:pPr>
        <w:spacing w:line="360" w:lineRule="auto"/>
        <w:ind w:left="567"/>
        <w:jc w:val="both"/>
        <w:rPr>
          <w:rFonts w:ascii="Arial" w:hAnsi="Arial" w:cs="Arial"/>
          <w:b/>
        </w:rPr>
      </w:pPr>
      <w:r>
        <w:rPr>
          <w:rFonts w:ascii="Arial" w:hAnsi="Arial" w:cs="Arial"/>
          <w:b/>
        </w:rPr>
        <w:t xml:space="preserve">Meta 1.1. Matricular 15.791 estudiantes en la sede Central.               </w:t>
      </w:r>
    </w:p>
    <w:p w:rsidR="00F87902" w:rsidRDefault="00F87902">
      <w:pPr>
        <w:ind w:left="567"/>
        <w:jc w:val="both"/>
        <w:rPr>
          <w:rFonts w:ascii="Arial" w:hAnsi="Arial" w:cs="Arial"/>
          <w:sz w:val="22"/>
          <w:szCs w:val="22"/>
        </w:rPr>
      </w:pPr>
    </w:p>
    <w:p w:rsidR="00F87902" w:rsidRDefault="00A519F9">
      <w:pPr>
        <w:ind w:left="567"/>
        <w:jc w:val="both"/>
        <w:rPr>
          <w:rFonts w:ascii="Arial" w:hAnsi="Arial" w:cs="Arial"/>
          <w:sz w:val="22"/>
          <w:szCs w:val="22"/>
        </w:rPr>
      </w:pPr>
      <w:r>
        <w:rPr>
          <w:rFonts w:ascii="Arial" w:hAnsi="Arial" w:cs="Arial"/>
          <w:sz w:val="22"/>
          <w:szCs w:val="22"/>
        </w:rPr>
        <w:t xml:space="preserve">El cumplimiento de la meta es del </w:t>
      </w:r>
      <w:r>
        <w:rPr>
          <w:rFonts w:ascii="Arial" w:hAnsi="Arial" w:cs="Arial"/>
          <w:b/>
          <w:sz w:val="22"/>
          <w:szCs w:val="22"/>
        </w:rPr>
        <w:t>96%</w:t>
      </w:r>
      <w:r>
        <w:rPr>
          <w:rFonts w:ascii="Arial" w:hAnsi="Arial" w:cs="Arial"/>
          <w:sz w:val="22"/>
          <w:szCs w:val="22"/>
        </w:rPr>
        <w:t>, de acuerdo con los resultados que se observan:</w:t>
      </w:r>
    </w:p>
    <w:p w:rsidR="00F87902" w:rsidRDefault="00F87902">
      <w:pPr>
        <w:ind w:left="567"/>
        <w:jc w:val="both"/>
        <w:rPr>
          <w:rFonts w:ascii="Arial" w:hAnsi="Arial" w:cs="Arial"/>
          <w:b/>
          <w:i/>
          <w:color w:val="E36C0A" w:themeColor="accent6" w:themeShade="BF"/>
          <w:sz w:val="22"/>
          <w:szCs w:val="22"/>
        </w:rPr>
      </w:pPr>
    </w:p>
    <w:p w:rsidR="00F87902" w:rsidRDefault="00A519F9">
      <w:pPr>
        <w:numPr>
          <w:ilvl w:val="0"/>
          <w:numId w:val="4"/>
        </w:numPr>
        <w:ind w:left="1068"/>
        <w:jc w:val="both"/>
        <w:rPr>
          <w:rFonts w:ascii="Arial" w:hAnsi="Arial" w:cs="Arial"/>
          <w:sz w:val="22"/>
          <w:szCs w:val="22"/>
        </w:rPr>
      </w:pPr>
      <w:r>
        <w:rPr>
          <w:rFonts w:ascii="Arial" w:hAnsi="Arial" w:cs="Arial"/>
          <w:b/>
          <w:sz w:val="22"/>
          <w:szCs w:val="22"/>
        </w:rPr>
        <w:t xml:space="preserve">15.220 estudiantes matriculados en los campus Omar Dengo y Benjamín Núñez </w:t>
      </w:r>
      <w:r>
        <w:rPr>
          <w:rFonts w:ascii="Arial" w:hAnsi="Arial" w:cs="Arial"/>
          <w:sz w:val="22"/>
          <w:szCs w:val="22"/>
        </w:rPr>
        <w:t xml:space="preserve">(incluye sede UCR: Limón) </w:t>
      </w:r>
      <w:r>
        <w:rPr>
          <w:rFonts w:ascii="Arial" w:hAnsi="Arial" w:cs="Arial"/>
        </w:rPr>
        <w:t>–</w:t>
      </w:r>
      <w:r>
        <w:rPr>
          <w:rFonts w:ascii="Arial" w:hAnsi="Arial" w:cs="Arial"/>
          <w:sz w:val="22"/>
          <w:szCs w:val="22"/>
        </w:rPr>
        <w:t>corte al 8 de diciembre del 2015</w:t>
      </w:r>
      <w:r>
        <w:rPr>
          <w:rFonts w:ascii="Arial" w:hAnsi="Arial" w:cs="Arial"/>
        </w:rPr>
        <w:t>–</w:t>
      </w:r>
      <w:r>
        <w:rPr>
          <w:rFonts w:ascii="Arial" w:hAnsi="Arial" w:cs="Arial"/>
          <w:sz w:val="22"/>
          <w:szCs w:val="22"/>
        </w:rPr>
        <w:t xml:space="preserve">, lo cual corresponde al 96% de la cifra estimada en la formulación. </w:t>
      </w:r>
    </w:p>
    <w:p w:rsidR="00F87902" w:rsidRDefault="00F87902">
      <w:pPr>
        <w:ind w:left="1068"/>
        <w:jc w:val="both"/>
        <w:rPr>
          <w:rFonts w:ascii="Arial" w:hAnsi="Arial" w:cs="Arial"/>
          <w:sz w:val="22"/>
          <w:szCs w:val="22"/>
        </w:rPr>
      </w:pPr>
    </w:p>
    <w:p w:rsidR="00F87902" w:rsidRDefault="00A519F9">
      <w:pPr>
        <w:numPr>
          <w:ilvl w:val="0"/>
          <w:numId w:val="4"/>
        </w:numPr>
        <w:ind w:left="1068"/>
        <w:jc w:val="both"/>
        <w:rPr>
          <w:rFonts w:ascii="Arial" w:hAnsi="Arial" w:cs="Arial"/>
          <w:sz w:val="22"/>
          <w:szCs w:val="22"/>
        </w:rPr>
      </w:pPr>
      <w:r>
        <w:rPr>
          <w:rFonts w:ascii="Arial" w:hAnsi="Arial" w:cs="Arial"/>
          <w:sz w:val="22"/>
          <w:szCs w:val="22"/>
        </w:rPr>
        <w:t>En materia conexa a la matrícula estudiantil se han desarrollado las siguientes actividades:</w:t>
      </w:r>
    </w:p>
    <w:p w:rsidR="00F87902" w:rsidRDefault="00F87902">
      <w:pPr>
        <w:ind w:left="1068"/>
        <w:jc w:val="both"/>
        <w:rPr>
          <w:rFonts w:ascii="Arial" w:hAnsi="Arial" w:cs="Arial"/>
          <w:sz w:val="22"/>
          <w:szCs w:val="22"/>
        </w:rPr>
      </w:pPr>
    </w:p>
    <w:p w:rsidR="00F87902" w:rsidRDefault="00A519F9">
      <w:pPr>
        <w:numPr>
          <w:ilvl w:val="0"/>
          <w:numId w:val="27"/>
        </w:numPr>
        <w:ind w:left="1428"/>
        <w:jc w:val="both"/>
        <w:rPr>
          <w:rFonts w:ascii="Arial" w:hAnsi="Arial" w:cs="Arial"/>
          <w:sz w:val="22"/>
          <w:szCs w:val="22"/>
        </w:rPr>
      </w:pPr>
      <w:r>
        <w:rPr>
          <w:rFonts w:ascii="Arial" w:hAnsi="Arial" w:cs="Arial"/>
          <w:sz w:val="22"/>
          <w:szCs w:val="22"/>
        </w:rPr>
        <w:t>80% de logro en la elaboración de una guía que contribuya en el proceso de diseño curricular de planes de estudio bimodales y virtuales, en coordinación Programa de Diseño Curricular y el Programa UNA Virtual: concluida pero pendiente de aprobación.</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lastRenderedPageBreak/>
        <w:t>100% de logro en el apoyo de planes de estudio con nuevas iniciativas de bimodalización o virtualización: reuniones con las instancias que tienen iniciativas de bimodalizar o virtualizar planes de estudio y planes de trabajo realizados.</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100% de logro en el seguimiento a planes de estudio que hayan implementado la modalidad bimodal o virtual: mediante capacitación al Diplomado en Secretariado Profesional, a quienes se impartió el curso “Uso avanzado de herramientas del Aula Virtual: videoconferencia”, y a la Licenciatura en Ciencias Ambientales, los planes de estudio de la Escuela Ecuménica de Ciencias de la Religión y la Maestría en Informática Educativa, a quienes se invitó a participar en el taller “Herramientas Web 2.0 para innovar en la docencia en educación superior”.</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Organización de foro: IV Foro de Académicos Innovadores, en el que se contó con 4 conferencias principales (3 de ellas de conferencistas internacionales), y se recibieron 24 ponencias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 xml:space="preserve">23 actividades de capacitación en el uso del Aula Virtual: 7 talleres de Introducción al Aula Virtual de la UNA”, 8 talleres de “Diseño e implementación de cursos en el Aula Virtual”, y 8 talleres de “Uso avanzado de herramientas del Aula Virtual: videoconferencia” (100%).    </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5 talleres de Desarrollo de habilidades pedagógicas y técnicas en el uso de pizarras digitales interactivas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 folleto informativo para el estudiantado referente al Aula Virtual Institucional: 1 afiche, y un folleto que se entregó en los paquetes de la semana de orientación a los estudiantes de primer ingreso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 xml:space="preserve">1 banco de recursos de autoaprendizaje y </w:t>
      </w:r>
      <w:r>
        <w:rPr>
          <w:rFonts w:ascii="Arial" w:hAnsi="Arial" w:cs="Arial"/>
          <w:i/>
          <w:sz w:val="22"/>
          <w:szCs w:val="22"/>
        </w:rPr>
        <w:t>Massive Open Online Course</w:t>
      </w:r>
      <w:r>
        <w:rPr>
          <w:rFonts w:ascii="Arial" w:hAnsi="Arial" w:cs="Arial"/>
          <w:sz w:val="22"/>
          <w:szCs w:val="22"/>
        </w:rPr>
        <w:t xml:space="preserve"> (MOOC) como apoyo a la mediación pedagógica.</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80% de logro en la elaboración de una estrategia para conformar una comisión de líderes en cada facultad, centro y sede, para la innovación académica con TIC.</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 xml:space="preserve">100% de logro en la participación de la totalidad de actividades que se ejecutan para la asignación de las adecuaciones de acceso a la Prueba de aptitud académica y pruebas de aptitud específica: 14 reuniones programadas por la </w:t>
      </w:r>
      <w:r>
        <w:rPr>
          <w:rFonts w:ascii="Arial" w:hAnsi="Arial" w:cs="Arial"/>
          <w:i/>
          <w:sz w:val="22"/>
          <w:szCs w:val="22"/>
        </w:rPr>
        <w:t>Ciaes</w:t>
      </w:r>
      <w:r>
        <w:rPr>
          <w:rFonts w:ascii="Arial" w:hAnsi="Arial" w:cs="Arial"/>
          <w:sz w:val="22"/>
          <w:szCs w:val="22"/>
        </w:rPr>
        <w:t xml:space="preserve"> y sesiones de trabajo para la revisión conjunta de expedientes de estudiantes que solicitan adecuación en las pruebas de admisión y en la digitación de estas adecuaciones en el Sistema de Aplicaciones Estudiantiles (SAE).</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100% de logro en el apoyo a unidades académicas en el desarrollo de actividades que se requieran para la aplicación de las pruebas de aptitud específica: creación herramienta informática para generar las listas de inscritos, formularios de inscripción y reporte de notas de las pruebas, además de apoyo durante la ejecución de estas.</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 folleto informativo del proceso de admisión de la UNA: 32.000 ejemplares para postulantes inscritos al proceso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3 estrategias conjuntas de articulación con instancias universitarias apoyadas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10 unidades académicas apoyadas para mejorar su bajo índice de aprobación en cursos específicos del plan de estudios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32 unidades académicas apoyadas en el desarrollo de acciones para reducir la deserción estudiantil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19 estrategias de acompañamiento a las unidades académicas para reducir el tiempo de egreso y graduación del estudiantado: tutorías individuales y especializadas, talleres focalizados, pruebas diagnósticas, sesiones de trabajo con unidades académicas, atención y seguimiento individual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8 acciones desarrolladas para favorecer la permanencia del estudiantado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lastRenderedPageBreak/>
        <w:t xml:space="preserve">7 procesos que promueven el éxito académico: tutorías grupales, individuales y específicas; pruebas diagnósticas diferentes áreas; talleres académicos; comisiones de </w:t>
      </w:r>
      <w:r>
        <w:rPr>
          <w:rFonts w:ascii="Arial" w:hAnsi="Arial" w:cs="Arial"/>
          <w:i/>
          <w:sz w:val="22"/>
          <w:szCs w:val="22"/>
        </w:rPr>
        <w:t>Conare</w:t>
      </w:r>
      <w:r>
        <w:rPr>
          <w:rFonts w:ascii="Arial" w:hAnsi="Arial" w:cs="Arial"/>
          <w:sz w:val="22"/>
          <w:szCs w:val="22"/>
        </w:rPr>
        <w:t xml:space="preserve"> (100%).</w:t>
      </w:r>
    </w:p>
    <w:p w:rsidR="00F87902" w:rsidRDefault="00A519F9">
      <w:pPr>
        <w:numPr>
          <w:ilvl w:val="0"/>
          <w:numId w:val="27"/>
        </w:numPr>
        <w:ind w:left="1428"/>
        <w:jc w:val="both"/>
        <w:rPr>
          <w:rFonts w:ascii="Arial" w:hAnsi="Arial" w:cs="Arial"/>
          <w:sz w:val="22"/>
          <w:szCs w:val="22"/>
        </w:rPr>
      </w:pPr>
      <w:r>
        <w:rPr>
          <w:rFonts w:ascii="Arial" w:hAnsi="Arial" w:cs="Arial"/>
          <w:sz w:val="22"/>
          <w:szCs w:val="22"/>
        </w:rPr>
        <w:t>1 diagnóstico de la implementación del Modelo Pedagógico institucional, para su mejora: 1 documento que reúne las acciones para una evaluación y actualización del modelo pedagógico UNA. Se estableció la propuesta de trabajo 2015-2017 (100%).</w:t>
      </w:r>
    </w:p>
    <w:p w:rsidR="00F87902" w:rsidRDefault="00F87902">
      <w:pPr>
        <w:ind w:left="1428"/>
        <w:jc w:val="both"/>
        <w:rPr>
          <w:rFonts w:ascii="Arial" w:hAnsi="Arial" w:cs="Arial"/>
          <w:sz w:val="22"/>
          <w:szCs w:val="22"/>
        </w:rPr>
      </w:pPr>
    </w:p>
    <w:p w:rsidR="00F87902" w:rsidRDefault="00A519F9">
      <w:pPr>
        <w:pStyle w:val="Cuerpodetextoconsangra"/>
        <w:spacing w:line="240" w:lineRule="auto"/>
        <w:ind w:left="0"/>
        <w:rPr>
          <w:rFonts w:cs="Arial"/>
          <w:sz w:val="22"/>
          <w:szCs w:val="22"/>
          <w:lang w:val="es-CR"/>
        </w:rPr>
      </w:pPr>
      <w:r>
        <w:rPr>
          <w:rFonts w:cs="Arial"/>
          <w:sz w:val="22"/>
          <w:szCs w:val="22"/>
          <w:lang w:val="es-CR"/>
        </w:rPr>
        <w:t xml:space="preserve">Cabe indicar que, según reporte al diciembre del 2015, se matricularon </w:t>
      </w:r>
      <w:r>
        <w:rPr>
          <w:rFonts w:cs="Arial"/>
          <w:b/>
          <w:sz w:val="22"/>
          <w:szCs w:val="22"/>
          <w:lang w:val="es-CR"/>
        </w:rPr>
        <w:t>19.356</w:t>
      </w:r>
      <w:r>
        <w:rPr>
          <w:rFonts w:cs="Arial"/>
          <w:sz w:val="22"/>
          <w:szCs w:val="22"/>
          <w:lang w:val="es-CR"/>
        </w:rPr>
        <w:t xml:space="preserve"> estudiantes en los distintos programas de estudio que ofrece la institución (corte al 8 de diciembre del 2015); asimismo, se graduaron </w:t>
      </w:r>
      <w:r>
        <w:rPr>
          <w:rFonts w:cs="Arial"/>
          <w:b/>
          <w:sz w:val="22"/>
          <w:szCs w:val="22"/>
          <w:lang w:val="es-CR"/>
        </w:rPr>
        <w:t>3.310</w:t>
      </w:r>
      <w:r>
        <w:rPr>
          <w:rFonts w:cs="Arial"/>
          <w:sz w:val="22"/>
          <w:szCs w:val="22"/>
          <w:lang w:val="es-CR"/>
        </w:rPr>
        <w:t xml:space="preserve"> estudiantes durante el 2015.  El detalle por unidades académicas de los graduados puede observarse en el arreglo estadístico inserto.</w:t>
      </w:r>
    </w:p>
    <w:p w:rsidR="007D7680" w:rsidRDefault="007D7680">
      <w:pPr>
        <w:pStyle w:val="Cuerpodetextoconsangra"/>
        <w:spacing w:line="240" w:lineRule="auto"/>
        <w:ind w:left="0"/>
        <w:rPr>
          <w:rFonts w:cs="Arial"/>
          <w:sz w:val="22"/>
          <w:szCs w:val="22"/>
          <w:lang w:val="es-CR"/>
        </w:rPr>
      </w:pPr>
    </w:p>
    <w:p w:rsidR="007D7680" w:rsidRDefault="007D7680">
      <w:pPr>
        <w:pStyle w:val="Cuerpodetextoconsangra"/>
        <w:spacing w:line="240" w:lineRule="auto"/>
        <w:ind w:left="0"/>
        <w:rPr>
          <w:rFonts w:cs="Arial"/>
          <w:sz w:val="22"/>
          <w:szCs w:val="22"/>
          <w:lang w:val="es-CR"/>
        </w:rPr>
      </w:pPr>
    </w:p>
    <w:p w:rsidR="007D7680" w:rsidRDefault="007D7680">
      <w:pPr>
        <w:rPr>
          <w:rFonts w:ascii="Arial" w:hAnsi="Arial" w:cs="Arial"/>
          <w:sz w:val="22"/>
          <w:szCs w:val="22"/>
          <w:lang w:val="es-CR"/>
        </w:rPr>
      </w:pPr>
    </w:p>
    <w:p w:rsidR="007D7680" w:rsidRDefault="007D7680">
      <w:pPr>
        <w:pStyle w:val="Cuerpodetextoconsangra"/>
        <w:spacing w:line="240" w:lineRule="auto"/>
        <w:ind w:left="0"/>
        <w:rPr>
          <w:rFonts w:cs="Arial"/>
          <w:b/>
          <w:sz w:val="22"/>
          <w:szCs w:val="22"/>
          <w:lang w:val="es-CR"/>
        </w:rPr>
      </w:pPr>
    </w:p>
    <w:p w:rsidR="007D7680" w:rsidRDefault="007D7680">
      <w:pPr>
        <w:pStyle w:val="Cuerpodetextoconsangra"/>
        <w:spacing w:line="240" w:lineRule="auto"/>
        <w:ind w:left="0"/>
        <w:rPr>
          <w:rFonts w:cs="Arial"/>
          <w:b/>
          <w:sz w:val="22"/>
          <w:szCs w:val="22"/>
          <w:lang w:val="es-CR"/>
        </w:rPr>
        <w:sectPr w:rsidR="007D7680">
          <w:footerReference w:type="default" r:id="rId14"/>
          <w:footerReference w:type="first" r:id="rId15"/>
          <w:pgSz w:w="12240" w:h="15840"/>
          <w:pgMar w:top="1412" w:right="1009" w:bottom="1412" w:left="1440" w:header="0" w:footer="720" w:gutter="0"/>
          <w:pgNumType w:start="1"/>
          <w:cols w:space="720"/>
          <w:formProt w:val="0"/>
          <w:titlePg/>
          <w:docGrid w:linePitch="326" w:charSpace="-6145"/>
        </w:sectPr>
      </w:pPr>
    </w:p>
    <w:tbl>
      <w:tblPr>
        <w:tblW w:w="5000" w:type="pct"/>
        <w:jc w:val="center"/>
        <w:tblCellMar>
          <w:left w:w="70" w:type="dxa"/>
          <w:right w:w="70" w:type="dxa"/>
        </w:tblCellMar>
        <w:tblLook w:val="0000"/>
      </w:tblPr>
      <w:tblGrid>
        <w:gridCol w:w="5874"/>
        <w:gridCol w:w="1157"/>
        <w:gridCol w:w="951"/>
        <w:gridCol w:w="1171"/>
        <w:gridCol w:w="959"/>
      </w:tblGrid>
      <w:tr w:rsidR="007D7680" w:rsidRPr="00616D8F" w:rsidTr="00C575C9">
        <w:trPr>
          <w:trHeight w:val="20"/>
          <w:tblHeader/>
          <w:jc w:val="center"/>
        </w:trPr>
        <w:tc>
          <w:tcPr>
            <w:tcW w:w="5000" w:type="pct"/>
            <w:gridSpan w:val="5"/>
            <w:tcBorders>
              <w:top w:val="nil"/>
              <w:left w:val="nil"/>
              <w:bottom w:val="nil"/>
              <w:right w:val="nil"/>
            </w:tcBorders>
            <w:shd w:val="clear" w:color="auto" w:fill="FFFFFF"/>
            <w:noWrap/>
            <w:vAlign w:val="center"/>
          </w:tcPr>
          <w:p w:rsidR="007D7680" w:rsidRPr="000C7F0F" w:rsidRDefault="007D7680" w:rsidP="00C575C9">
            <w:pPr>
              <w:jc w:val="center"/>
              <w:rPr>
                <w:rFonts w:ascii="Calibri" w:hAnsi="Calibri" w:cs="Arial"/>
                <w:b/>
                <w:bCs/>
                <w:sz w:val="20"/>
                <w:szCs w:val="20"/>
              </w:rPr>
            </w:pPr>
            <w:r w:rsidRPr="000C7F0F">
              <w:rPr>
                <w:rFonts w:ascii="Calibri" w:hAnsi="Calibri" w:cs="Arial"/>
                <w:b/>
                <w:bCs/>
                <w:sz w:val="20"/>
                <w:szCs w:val="20"/>
              </w:rPr>
              <w:lastRenderedPageBreak/>
              <w:t>CUADRO Nº 3. UNIVERSIDAD NACIONAL</w:t>
            </w:r>
          </w:p>
        </w:tc>
      </w:tr>
      <w:tr w:rsidR="007D7680" w:rsidRPr="00616D8F" w:rsidTr="00C575C9">
        <w:trPr>
          <w:trHeight w:val="20"/>
          <w:tblHeader/>
          <w:jc w:val="center"/>
        </w:trPr>
        <w:tc>
          <w:tcPr>
            <w:tcW w:w="5000" w:type="pct"/>
            <w:gridSpan w:val="5"/>
            <w:tcBorders>
              <w:top w:val="nil"/>
              <w:left w:val="nil"/>
              <w:bottom w:val="nil"/>
              <w:right w:val="nil"/>
            </w:tcBorders>
            <w:shd w:val="clear" w:color="auto" w:fill="FFFFFF"/>
            <w:noWrap/>
            <w:vAlign w:val="center"/>
          </w:tcPr>
          <w:p w:rsidR="007D7680" w:rsidRPr="007609EA" w:rsidRDefault="007D7680" w:rsidP="00C575C9">
            <w:pPr>
              <w:jc w:val="center"/>
              <w:rPr>
                <w:rFonts w:ascii="Calibri" w:hAnsi="Calibri" w:cs="Arial"/>
                <w:sz w:val="20"/>
                <w:szCs w:val="20"/>
              </w:rPr>
            </w:pPr>
            <w:r w:rsidRPr="007609EA">
              <w:rPr>
                <w:rFonts w:ascii="Calibri" w:hAnsi="Calibri" w:cs="Arial"/>
                <w:sz w:val="20"/>
                <w:szCs w:val="20"/>
              </w:rPr>
              <w:t>Estudiantes graduados según facultad, centro, sede y unidad académica, por grado obtenido, año 2015</w:t>
            </w:r>
          </w:p>
        </w:tc>
      </w:tr>
      <w:tr w:rsidR="007D7680" w:rsidRPr="00616D8F" w:rsidTr="00C575C9">
        <w:trPr>
          <w:trHeight w:val="20"/>
          <w:tblHeader/>
          <w:jc w:val="center"/>
        </w:trPr>
        <w:tc>
          <w:tcPr>
            <w:tcW w:w="5000" w:type="pct"/>
            <w:gridSpan w:val="5"/>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al 31 de diciembre</w:t>
            </w:r>
            <w:r w:rsidRPr="00300AE3">
              <w:rPr>
                <w:rStyle w:val="Refdenotaalpie"/>
                <w:rFonts w:ascii="Calibri" w:hAnsi="Calibri" w:cs="Arial"/>
                <w:sz w:val="20"/>
                <w:szCs w:val="20"/>
              </w:rPr>
              <w:footnoteReference w:id="4"/>
            </w:r>
            <w:r w:rsidRPr="00300AE3">
              <w:rPr>
                <w:rFonts w:ascii="Calibri" w:hAnsi="Calibri" w:cs="Arial"/>
                <w:sz w:val="20"/>
                <w:szCs w:val="20"/>
              </w:rPr>
              <w:t xml:space="preserve"> -</w:t>
            </w:r>
          </w:p>
        </w:tc>
      </w:tr>
      <w:tr w:rsidR="007D7680" w:rsidRPr="00616D8F" w:rsidTr="00C575C9">
        <w:trPr>
          <w:trHeight w:hRule="exact" w:val="113"/>
          <w:tblHeader/>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572" w:type="pct"/>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470" w:type="pct"/>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579" w:type="pct"/>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474" w:type="pct"/>
            <w:tcBorders>
              <w:top w:val="nil"/>
              <w:left w:val="nil"/>
              <w:bottom w:val="nil"/>
              <w:right w:val="nil"/>
            </w:tcBorders>
            <w:shd w:val="clear" w:color="auto"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r>
      <w:tr w:rsidR="007D7680" w:rsidRPr="00616D8F" w:rsidTr="00C575C9">
        <w:trPr>
          <w:trHeight w:val="20"/>
          <w:tblHeader/>
          <w:jc w:val="center"/>
        </w:trPr>
        <w:tc>
          <w:tcPr>
            <w:tcW w:w="2905" w:type="pct"/>
            <w:vMerge w:val="restart"/>
            <w:tcBorders>
              <w:top w:val="single" w:sz="4" w:space="0" w:color="auto"/>
              <w:left w:val="nil"/>
              <w:bottom w:val="single" w:sz="4" w:space="0" w:color="auto"/>
              <w:right w:val="single" w:sz="4" w:space="0" w:color="auto"/>
            </w:tcBorders>
            <w:shd w:val="clear" w:color="000000" w:fill="333333"/>
            <w:noWrap/>
            <w:vAlign w:val="center"/>
          </w:tcPr>
          <w:p w:rsidR="007D7680" w:rsidRPr="00300AE3" w:rsidRDefault="007D7680" w:rsidP="00C575C9">
            <w:pPr>
              <w:jc w:val="center"/>
              <w:rPr>
                <w:rFonts w:ascii="Calibri" w:hAnsi="Calibri" w:cs="Arial"/>
                <w:b/>
                <w:bCs/>
                <w:sz w:val="20"/>
                <w:szCs w:val="20"/>
              </w:rPr>
            </w:pPr>
            <w:r w:rsidRPr="00300AE3">
              <w:rPr>
                <w:rFonts w:ascii="Calibri" w:hAnsi="Calibri" w:cs="Arial"/>
                <w:b/>
                <w:bCs/>
                <w:sz w:val="20"/>
                <w:szCs w:val="20"/>
              </w:rPr>
              <w:t>Facultad, centro, sede y unidad académica</w:t>
            </w:r>
          </w:p>
        </w:tc>
        <w:tc>
          <w:tcPr>
            <w:tcW w:w="2095" w:type="pct"/>
            <w:gridSpan w:val="4"/>
            <w:tcBorders>
              <w:top w:val="single" w:sz="4" w:space="0" w:color="auto"/>
              <w:left w:val="nil"/>
              <w:bottom w:val="single" w:sz="4" w:space="0" w:color="auto"/>
              <w:right w:val="single" w:sz="4" w:space="0" w:color="auto"/>
            </w:tcBorders>
            <w:shd w:val="clear" w:color="auto" w:fill="333333"/>
            <w:noWrap/>
            <w:vAlign w:val="center"/>
          </w:tcPr>
          <w:p w:rsidR="007D7680" w:rsidRPr="00300AE3" w:rsidRDefault="007D7680" w:rsidP="00C575C9">
            <w:pPr>
              <w:jc w:val="center"/>
              <w:rPr>
                <w:rFonts w:ascii="Calibri" w:hAnsi="Calibri" w:cs="Arial"/>
                <w:b/>
                <w:bCs/>
                <w:sz w:val="20"/>
                <w:szCs w:val="20"/>
              </w:rPr>
            </w:pPr>
            <w:r w:rsidRPr="00300AE3">
              <w:rPr>
                <w:rFonts w:ascii="Calibri" w:hAnsi="Calibri" w:cs="Arial"/>
                <w:b/>
                <w:bCs/>
                <w:sz w:val="20"/>
                <w:szCs w:val="20"/>
              </w:rPr>
              <w:t>Cantidad de graduados</w:t>
            </w:r>
          </w:p>
        </w:tc>
      </w:tr>
      <w:tr w:rsidR="007D7680" w:rsidRPr="00616D8F" w:rsidTr="00C575C9">
        <w:trPr>
          <w:trHeight w:val="20"/>
          <w:tblHeader/>
          <w:jc w:val="center"/>
        </w:trPr>
        <w:tc>
          <w:tcPr>
            <w:tcW w:w="2905" w:type="pct"/>
            <w:vMerge/>
            <w:tcBorders>
              <w:top w:val="single" w:sz="4" w:space="0" w:color="auto"/>
              <w:left w:val="nil"/>
              <w:bottom w:val="single" w:sz="4" w:space="0" w:color="auto"/>
              <w:right w:val="single" w:sz="4" w:space="0" w:color="auto"/>
            </w:tcBorders>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single" w:sz="4" w:space="0" w:color="auto"/>
              <w:right w:val="single" w:sz="4" w:space="0" w:color="auto"/>
            </w:tcBorders>
            <w:shd w:val="clear" w:color="000000" w:fill="333333"/>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Pregrado 1/</w:t>
            </w:r>
          </w:p>
        </w:tc>
        <w:tc>
          <w:tcPr>
            <w:tcW w:w="470" w:type="pct"/>
            <w:tcBorders>
              <w:top w:val="nil"/>
              <w:left w:val="nil"/>
              <w:bottom w:val="single" w:sz="4" w:space="0" w:color="auto"/>
              <w:right w:val="single" w:sz="4" w:space="0" w:color="auto"/>
            </w:tcBorders>
            <w:shd w:val="clear" w:color="000000" w:fill="333333"/>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Grado 2/</w:t>
            </w:r>
          </w:p>
        </w:tc>
        <w:tc>
          <w:tcPr>
            <w:tcW w:w="579" w:type="pct"/>
            <w:tcBorders>
              <w:top w:val="nil"/>
              <w:left w:val="nil"/>
              <w:bottom w:val="single" w:sz="4" w:space="0" w:color="auto"/>
              <w:right w:val="single" w:sz="4" w:space="0" w:color="auto"/>
            </w:tcBorders>
            <w:shd w:val="clear" w:color="000000" w:fill="333333"/>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Posgrado 3/</w:t>
            </w:r>
          </w:p>
        </w:tc>
        <w:tc>
          <w:tcPr>
            <w:tcW w:w="474" w:type="pct"/>
            <w:tcBorders>
              <w:top w:val="nil"/>
              <w:left w:val="nil"/>
              <w:bottom w:val="single" w:sz="4" w:space="0" w:color="auto"/>
              <w:right w:val="nil"/>
            </w:tcBorders>
            <w:shd w:val="clear" w:color="000000" w:fill="333333"/>
            <w:noWrap/>
            <w:vAlign w:val="center"/>
          </w:tcPr>
          <w:p w:rsidR="007D7680" w:rsidRPr="00300AE3" w:rsidRDefault="007D7680" w:rsidP="00C575C9">
            <w:pPr>
              <w:jc w:val="center"/>
              <w:rPr>
                <w:rFonts w:ascii="Calibri" w:hAnsi="Calibri" w:cs="Arial"/>
                <w:b/>
                <w:bCs/>
                <w:sz w:val="20"/>
                <w:szCs w:val="20"/>
              </w:rPr>
            </w:pPr>
            <w:r w:rsidRPr="00300AE3">
              <w:rPr>
                <w:rFonts w:ascii="Calibri" w:hAnsi="Calibri" w:cs="Arial"/>
                <w:b/>
                <w:bCs/>
                <w:sz w:val="20"/>
                <w:szCs w:val="20"/>
              </w:rPr>
              <w:t>TOTAL</w:t>
            </w:r>
          </w:p>
        </w:tc>
      </w:tr>
      <w:tr w:rsidR="007D7680" w:rsidRPr="00616D8F" w:rsidTr="00C575C9">
        <w:trPr>
          <w:trHeight w:val="2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572" w:type="pct"/>
            <w:tcBorders>
              <w:top w:val="nil"/>
              <w:left w:val="nil"/>
              <w:bottom w:val="nil"/>
              <w:right w:val="nil"/>
            </w:tcBorders>
            <w:shd w:val="clear" w:color="000000"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470" w:type="pct"/>
            <w:tcBorders>
              <w:top w:val="nil"/>
              <w:left w:val="nil"/>
              <w:bottom w:val="nil"/>
              <w:right w:val="nil"/>
            </w:tcBorders>
            <w:shd w:val="clear" w:color="000000"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579" w:type="pct"/>
            <w:tcBorders>
              <w:top w:val="nil"/>
              <w:left w:val="nil"/>
              <w:bottom w:val="nil"/>
              <w:right w:val="nil"/>
            </w:tcBorders>
            <w:shd w:val="clear" w:color="000000"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c>
          <w:tcPr>
            <w:tcW w:w="474" w:type="pct"/>
            <w:tcBorders>
              <w:top w:val="nil"/>
              <w:left w:val="nil"/>
              <w:bottom w:val="nil"/>
              <w:right w:val="nil"/>
            </w:tcBorders>
            <w:shd w:val="clear" w:color="000000" w:fill="FFFFFF"/>
            <w:noWrap/>
            <w:vAlign w:val="center"/>
          </w:tcPr>
          <w:p w:rsidR="007D7680" w:rsidRPr="00300AE3" w:rsidRDefault="007D7680" w:rsidP="00C575C9">
            <w:pPr>
              <w:jc w:val="center"/>
              <w:rPr>
                <w:rFonts w:ascii="Calibri" w:hAnsi="Calibri" w:cs="Arial"/>
                <w:sz w:val="20"/>
                <w:szCs w:val="20"/>
              </w:rPr>
            </w:pPr>
            <w:r w:rsidRPr="00300AE3">
              <w:rPr>
                <w:rFonts w:ascii="Calibri" w:hAnsi="Calibri" w:cs="Arial"/>
                <w:sz w:val="20"/>
                <w:szCs w:val="20"/>
              </w:rPr>
              <w:t> </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UNIVERSIDAD NACIONAL</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670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2.304</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336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3.310</w:t>
            </w: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 </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 </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 </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 </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 </w:t>
            </w:r>
          </w:p>
        </w:tc>
      </w:tr>
      <w:tr w:rsidR="007D7680" w:rsidRPr="007609EA"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Facultad de Filosofía y Letras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62</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194</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51</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307</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Literatura y Ciencias del Lenguaje</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49</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center"/>
              <w:rPr>
                <w:rFonts w:ascii="Calibri" w:hAnsi="Calibri" w:cs="Arial"/>
                <w:sz w:val="20"/>
                <w:szCs w:val="20"/>
              </w:rPr>
            </w:pPr>
            <w:r w:rsidRPr="00300AE3">
              <w:rPr>
                <w:rFonts w:ascii="Calibri" w:hAnsi="Calibri" w:cs="Arial"/>
                <w:sz w:val="20"/>
                <w:szCs w:val="20"/>
              </w:rPr>
              <w:t xml:space="preserve">     103</w:t>
            </w:r>
          </w:p>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w:t>
            </w:r>
          </w:p>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27</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179</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Instituto de Estudios de la Mujer</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Ecuménica de Ciencias de la Religión</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13</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Filosofía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7</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19</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Instituto de Estudios Latinoamericanos (Idela)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13</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14</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Bibliotecología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69</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78</w:t>
            </w:r>
          </w:p>
        </w:tc>
      </w:tr>
      <w:tr w:rsidR="007D7680" w:rsidRPr="007609E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Decanato Filosofía y Letras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w:t>
            </w:r>
          </w:p>
        </w:tc>
      </w:tr>
      <w:tr w:rsidR="007D7680" w:rsidRPr="007609EA"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Facultad de Ciencias Sociales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89</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777</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121</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987</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Historia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45</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47</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Sociología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67</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99</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Planificación y Promoción Social</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78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90</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Administración</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253</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279</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Secretariado Profesional</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88</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61</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149</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Relaciones Internacionales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162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168</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Economía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106</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114</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Psicología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Centro Internacional en Política Económica (Cinpe)</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36</w:t>
            </w:r>
          </w:p>
        </w:tc>
      </w:tr>
      <w:tr w:rsidR="007D7680" w:rsidRPr="008508DE"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Facultad de Ciencias Exactas y Naturales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146</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310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52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508</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Matemática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21</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32</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Ciencias Biológicas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12</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86</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100</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Química</w:t>
            </w:r>
          </w:p>
          <w:p w:rsidR="007D7680" w:rsidRPr="00300AE3" w:rsidRDefault="007D7680" w:rsidP="00C575C9">
            <w:pPr>
              <w:rPr>
                <w:rFonts w:ascii="Calibri" w:hAnsi="Calibri" w:cs="Arial"/>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47</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51</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Departamento de Física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Topografía, Catastro y Geodesia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38</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Informática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123</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287</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Decanato Exactas y Naturales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r>
      <w:tr w:rsidR="007D7680" w:rsidRPr="008508DE"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Facultad de Ciencias de la Tierra y el Mar</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22</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162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40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224</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Ciencias Geográficas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34</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19</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62</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Ciencias Agrarias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48</w:t>
            </w:r>
          </w:p>
        </w:tc>
      </w:tr>
      <w:tr w:rsidR="007D7680" w:rsidRPr="008508DE"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Ciencias Ambientales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13</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86</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99</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Centro de Investigaciones Apícolas Tropicales (Cinat)</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Instituto internac. enconserv. y manejo de vida silvestre (Icomvis)</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w:t>
            </w:r>
          </w:p>
          <w:p w:rsidR="007D7680" w:rsidRPr="00300AE3" w:rsidRDefault="007D7680" w:rsidP="00C575C9">
            <w:pPr>
              <w:ind w:firstLineChars="100" w:firstLine="200"/>
              <w:jc w:val="right"/>
              <w:rPr>
                <w:rFonts w:ascii="Calibri" w:hAnsi="Calibri" w:cs="Arial"/>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Instituto de investigación y servicios forestales (Inisefor)</w:t>
            </w:r>
          </w:p>
          <w:p w:rsidR="007D7680" w:rsidRPr="00300AE3" w:rsidRDefault="007D7680" w:rsidP="00C575C9">
            <w:pPr>
              <w:rPr>
                <w:rFonts w:ascii="Calibri" w:hAnsi="Calibri" w:cs="Arial"/>
                <w:sz w:val="20"/>
                <w:szCs w:val="20"/>
              </w:rPr>
            </w:pPr>
          </w:p>
          <w:p w:rsidR="007D7680" w:rsidRPr="00300AE3" w:rsidRDefault="007D7680" w:rsidP="00C575C9">
            <w:pPr>
              <w:rPr>
                <w:rFonts w:ascii="Calibri" w:hAnsi="Calibri" w:cs="Arial"/>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p w:rsidR="007D7680" w:rsidRPr="00300AE3" w:rsidRDefault="007D7680" w:rsidP="00C575C9">
            <w:pPr>
              <w:ind w:firstLineChars="100" w:firstLine="200"/>
              <w:jc w:val="right"/>
              <w:rPr>
                <w:rFonts w:ascii="Calibri" w:hAnsi="Calibri" w:cs="Arial"/>
                <w:sz w:val="20"/>
                <w:szCs w:val="20"/>
              </w:rPr>
            </w:pPr>
          </w:p>
          <w:p w:rsidR="007D7680" w:rsidRPr="00300AE3" w:rsidRDefault="007D7680" w:rsidP="00C575C9">
            <w:pPr>
              <w:ind w:firstLineChars="100" w:firstLine="200"/>
              <w:jc w:val="right"/>
              <w:rPr>
                <w:rFonts w:ascii="Calibri" w:hAnsi="Calibri" w:cs="Arial"/>
                <w:sz w:val="20"/>
                <w:szCs w:val="20"/>
              </w:rPr>
            </w:pPr>
          </w:p>
          <w:p w:rsidR="007D7680" w:rsidRPr="00300AE3" w:rsidRDefault="007D7680" w:rsidP="00C575C9">
            <w:pPr>
              <w:ind w:firstLineChars="100" w:firstLine="200"/>
              <w:jc w:val="right"/>
              <w:rPr>
                <w:rFonts w:ascii="Calibri" w:hAnsi="Calibri" w:cs="Arial"/>
                <w:sz w:val="20"/>
                <w:szCs w:val="20"/>
              </w:rPr>
            </w:pPr>
          </w:p>
          <w:p w:rsidR="007D7680" w:rsidRPr="00300AE3" w:rsidRDefault="007D7680" w:rsidP="00C575C9">
            <w:pPr>
              <w:ind w:firstLineChars="100" w:firstLine="200"/>
              <w:jc w:val="right"/>
              <w:rPr>
                <w:rFonts w:ascii="Calibri" w:hAnsi="Calibri" w:cs="Arial"/>
                <w:sz w:val="20"/>
                <w:szCs w:val="20"/>
              </w:rPr>
            </w:pPr>
          </w:p>
          <w:p w:rsidR="007D7680" w:rsidRPr="00300AE3" w:rsidRDefault="007D7680" w:rsidP="00C575C9">
            <w:pPr>
              <w:ind w:firstLineChars="100" w:firstLine="200"/>
              <w:jc w:val="right"/>
              <w:rPr>
                <w:rFonts w:ascii="Calibri" w:hAnsi="Calibri" w:cs="Arial"/>
                <w:sz w:val="20"/>
                <w:szCs w:val="20"/>
              </w:rPr>
            </w:pP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Instituto regional de estudios en sustancias tóxicas (IRET)</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r>
      <w:tr w:rsidR="007D7680" w:rsidRPr="001F2B4A"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Facultad de Ciencias de la Salud</w:t>
            </w:r>
          </w:p>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22</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62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24</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108</w:t>
            </w:r>
          </w:p>
        </w:tc>
      </w:tr>
      <w:tr w:rsidR="007D7680" w:rsidRPr="001F2B4A"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Medicina Veterinaria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19</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30</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Ciencias del movimiento humano y calidad de vida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22</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51</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78</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Centro de investigación y docencia en educación (CIDE)</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117</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273</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40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430</w:t>
            </w:r>
          </w:p>
        </w:tc>
      </w:tr>
      <w:tr w:rsidR="007D7680" w:rsidRPr="001F2B4A"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División de Educación Básica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66</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15</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199</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División de Educación para el Trabajo</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59</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71</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División de Educación Rural</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51</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87</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140</w:t>
            </w:r>
          </w:p>
        </w:tc>
      </w:tr>
      <w:tr w:rsidR="007D7680" w:rsidRPr="001F2B4A"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División de Educología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9</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11</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20</w:t>
            </w: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616D8F"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Centro de investigación, docencia y extensión artística (Cidea)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158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8</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166</w:t>
            </w:r>
          </w:p>
        </w:tc>
      </w:tr>
      <w:tr w:rsidR="007D7680" w:rsidRPr="00804A0D"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Arte Escénico</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w:t>
            </w: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Danza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18</w:t>
            </w: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Música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53</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53</w:t>
            </w: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sz w:val="20"/>
                <w:szCs w:val="20"/>
              </w:rPr>
            </w:pPr>
            <w:r w:rsidRPr="00300AE3">
              <w:rPr>
                <w:rFonts w:ascii="Calibri" w:hAnsi="Calibri" w:cs="Arial"/>
                <w:sz w:val="20"/>
                <w:szCs w:val="20"/>
              </w:rPr>
              <w:t>Escuela de Arte y Comunicación Visual</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85</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0"/>
              <w:jc w:val="right"/>
              <w:rPr>
                <w:rFonts w:ascii="Calibri" w:hAnsi="Calibri" w:cs="Arial"/>
                <w:sz w:val="20"/>
                <w:szCs w:val="20"/>
              </w:rPr>
            </w:pPr>
            <w:r w:rsidRPr="00300AE3">
              <w:rPr>
                <w:rFonts w:ascii="Calibri" w:hAnsi="Calibri" w:cs="Arial"/>
                <w:sz w:val="20"/>
                <w:szCs w:val="20"/>
              </w:rPr>
              <w:t>85</w:t>
            </w: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Sede región Brunca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55</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152</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207</w:t>
            </w:r>
          </w:p>
          <w:p w:rsidR="007D7680" w:rsidRPr="00300AE3" w:rsidRDefault="007D7680" w:rsidP="00C575C9">
            <w:pPr>
              <w:ind w:firstLineChars="100" w:firstLine="201"/>
              <w:jc w:val="right"/>
              <w:rPr>
                <w:rFonts w:ascii="Calibri" w:hAnsi="Calibri" w:cs="Arial"/>
                <w:b/>
                <w:bCs/>
                <w:sz w:val="20"/>
                <w:szCs w:val="20"/>
              </w:rPr>
            </w:pP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Sede región Chorotega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81</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170</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251</w:t>
            </w:r>
          </w:p>
          <w:p w:rsidR="007D7680" w:rsidRPr="00300AE3" w:rsidRDefault="007D7680" w:rsidP="00C575C9">
            <w:pPr>
              <w:ind w:firstLineChars="100" w:firstLine="201"/>
              <w:jc w:val="right"/>
              <w:rPr>
                <w:rFonts w:ascii="Calibri" w:hAnsi="Calibri" w:cs="Arial"/>
                <w:b/>
                <w:bCs/>
                <w:sz w:val="20"/>
                <w:szCs w:val="20"/>
              </w:rPr>
            </w:pP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Campus Sarapiquí</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35</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18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53</w:t>
            </w:r>
          </w:p>
        </w:tc>
      </w:tr>
      <w:tr w:rsidR="007D7680" w:rsidRPr="00804A0D" w:rsidTr="00C575C9">
        <w:trPr>
          <w:trHeight w:hRule="exact" w:val="210"/>
          <w:jc w:val="center"/>
        </w:trPr>
        <w:tc>
          <w:tcPr>
            <w:tcW w:w="2905" w:type="pct"/>
            <w:tcBorders>
              <w:top w:val="nil"/>
              <w:left w:val="nil"/>
              <w:bottom w:val="nil"/>
              <w:right w:val="nil"/>
            </w:tcBorders>
            <w:shd w:val="clear" w:color="000000" w:fill="FFFFFF"/>
            <w:noWrap/>
            <w:vAlign w:val="center"/>
          </w:tcPr>
          <w:p w:rsidR="007D7680" w:rsidRPr="00300AE3" w:rsidRDefault="007D7680" w:rsidP="00C575C9">
            <w:pPr>
              <w:rPr>
                <w:rFonts w:ascii="Calibri" w:hAnsi="Calibri" w:cs="Arial"/>
                <w:b/>
                <w:bCs/>
                <w:sz w:val="20"/>
                <w:szCs w:val="20"/>
              </w:rPr>
            </w:pPr>
            <w:r w:rsidRPr="00300AE3">
              <w:rPr>
                <w:rFonts w:ascii="Calibri" w:hAnsi="Calibri" w:cs="Arial"/>
                <w:b/>
                <w:bCs/>
                <w:sz w:val="20"/>
                <w:szCs w:val="20"/>
              </w:rPr>
              <w:t>Sede Interuniversitaria Alajuela</w:t>
            </w:r>
          </w:p>
        </w:tc>
        <w:tc>
          <w:tcPr>
            <w:tcW w:w="572"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41</w:t>
            </w:r>
          </w:p>
        </w:tc>
        <w:tc>
          <w:tcPr>
            <w:tcW w:w="470"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28</w:t>
            </w:r>
          </w:p>
        </w:tc>
        <w:tc>
          <w:tcPr>
            <w:tcW w:w="579"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0</w:t>
            </w:r>
          </w:p>
        </w:tc>
        <w:tc>
          <w:tcPr>
            <w:tcW w:w="474" w:type="pct"/>
            <w:tcBorders>
              <w:top w:val="nil"/>
              <w:left w:val="nil"/>
              <w:bottom w:val="nil"/>
              <w:right w:val="nil"/>
            </w:tcBorders>
            <w:shd w:val="clear" w:color="auto" w:fill="auto"/>
            <w:noWrap/>
            <w:vAlign w:val="center"/>
          </w:tcPr>
          <w:p w:rsidR="007D7680" w:rsidRPr="00300AE3" w:rsidRDefault="007D7680" w:rsidP="00C575C9">
            <w:pPr>
              <w:ind w:firstLineChars="100" w:firstLine="201"/>
              <w:jc w:val="right"/>
              <w:rPr>
                <w:rFonts w:ascii="Calibri" w:hAnsi="Calibri" w:cs="Arial"/>
                <w:b/>
                <w:bCs/>
                <w:sz w:val="20"/>
                <w:szCs w:val="20"/>
              </w:rPr>
            </w:pPr>
            <w:r w:rsidRPr="00300AE3">
              <w:rPr>
                <w:rFonts w:ascii="Calibri" w:hAnsi="Calibri" w:cs="Arial"/>
                <w:b/>
                <w:bCs/>
                <w:sz w:val="20"/>
                <w:szCs w:val="20"/>
              </w:rPr>
              <w:t>69</w:t>
            </w:r>
          </w:p>
        </w:tc>
      </w:tr>
      <w:tr w:rsidR="007D7680" w:rsidRPr="00804A0D" w:rsidTr="00C575C9">
        <w:trPr>
          <w:trHeight w:hRule="exact" w:val="210"/>
          <w:jc w:val="center"/>
        </w:trPr>
        <w:tc>
          <w:tcPr>
            <w:tcW w:w="2905" w:type="pct"/>
            <w:tcBorders>
              <w:top w:val="nil"/>
              <w:left w:val="nil"/>
              <w:bottom w:val="single" w:sz="4" w:space="0" w:color="auto"/>
              <w:right w:val="nil"/>
            </w:tcBorders>
            <w:shd w:val="clear" w:color="auto" w:fill="FFFFFF"/>
            <w:noWrap/>
            <w:vAlign w:val="center"/>
          </w:tcPr>
          <w:p w:rsidR="007D7680" w:rsidRPr="00804A0D" w:rsidRDefault="007D7680" w:rsidP="00C575C9">
            <w:pPr>
              <w:rPr>
                <w:rFonts w:ascii="Calibri" w:hAnsi="Calibri" w:cs="Arial"/>
                <w:color w:val="0070C0"/>
                <w:sz w:val="20"/>
                <w:szCs w:val="20"/>
              </w:rPr>
            </w:pPr>
            <w:r w:rsidRPr="00804A0D">
              <w:rPr>
                <w:rFonts w:ascii="Calibri" w:hAnsi="Calibri" w:cs="Arial"/>
                <w:color w:val="0070C0"/>
                <w:sz w:val="20"/>
                <w:szCs w:val="20"/>
              </w:rPr>
              <w:t> </w:t>
            </w:r>
          </w:p>
        </w:tc>
        <w:tc>
          <w:tcPr>
            <w:tcW w:w="572" w:type="pct"/>
            <w:tcBorders>
              <w:top w:val="nil"/>
              <w:left w:val="nil"/>
              <w:bottom w:val="single" w:sz="4" w:space="0" w:color="auto"/>
              <w:right w:val="nil"/>
            </w:tcBorders>
            <w:shd w:val="clear" w:color="auto" w:fill="FFFFFF"/>
            <w:noWrap/>
            <w:vAlign w:val="center"/>
          </w:tcPr>
          <w:p w:rsidR="007D7680" w:rsidRPr="00804A0D" w:rsidRDefault="007D7680" w:rsidP="00C575C9">
            <w:pPr>
              <w:ind w:firstLineChars="100" w:firstLine="200"/>
              <w:jc w:val="right"/>
              <w:rPr>
                <w:rFonts w:ascii="Calibri" w:hAnsi="Calibri" w:cs="Arial"/>
                <w:color w:val="0070C0"/>
                <w:sz w:val="20"/>
                <w:szCs w:val="20"/>
              </w:rPr>
            </w:pPr>
            <w:r w:rsidRPr="00804A0D">
              <w:rPr>
                <w:rFonts w:ascii="Calibri" w:hAnsi="Calibri" w:cs="Arial"/>
                <w:color w:val="0070C0"/>
                <w:sz w:val="20"/>
                <w:szCs w:val="20"/>
              </w:rPr>
              <w:t> </w:t>
            </w:r>
          </w:p>
        </w:tc>
        <w:tc>
          <w:tcPr>
            <w:tcW w:w="470" w:type="pct"/>
            <w:tcBorders>
              <w:top w:val="nil"/>
              <w:left w:val="nil"/>
              <w:bottom w:val="single" w:sz="4" w:space="0" w:color="auto"/>
              <w:right w:val="nil"/>
            </w:tcBorders>
            <w:shd w:val="clear" w:color="auto" w:fill="FFFFFF"/>
            <w:noWrap/>
            <w:vAlign w:val="center"/>
          </w:tcPr>
          <w:p w:rsidR="007D7680" w:rsidRPr="00804A0D" w:rsidRDefault="007D7680" w:rsidP="00C575C9">
            <w:pPr>
              <w:ind w:firstLineChars="100" w:firstLine="200"/>
              <w:jc w:val="right"/>
              <w:rPr>
                <w:rFonts w:ascii="Calibri" w:hAnsi="Calibri" w:cs="Arial"/>
                <w:color w:val="0070C0"/>
                <w:sz w:val="20"/>
                <w:szCs w:val="20"/>
              </w:rPr>
            </w:pPr>
            <w:r w:rsidRPr="00804A0D">
              <w:rPr>
                <w:rFonts w:ascii="Calibri" w:hAnsi="Calibri" w:cs="Arial"/>
                <w:color w:val="0070C0"/>
                <w:sz w:val="20"/>
                <w:szCs w:val="20"/>
              </w:rPr>
              <w:t> </w:t>
            </w:r>
          </w:p>
        </w:tc>
        <w:tc>
          <w:tcPr>
            <w:tcW w:w="579" w:type="pct"/>
            <w:tcBorders>
              <w:top w:val="nil"/>
              <w:left w:val="nil"/>
              <w:bottom w:val="single" w:sz="4" w:space="0" w:color="auto"/>
              <w:right w:val="nil"/>
            </w:tcBorders>
            <w:shd w:val="clear" w:color="auto" w:fill="FFFFFF"/>
            <w:noWrap/>
            <w:vAlign w:val="center"/>
          </w:tcPr>
          <w:p w:rsidR="007D7680" w:rsidRPr="00804A0D" w:rsidRDefault="007D7680" w:rsidP="00C575C9">
            <w:pPr>
              <w:ind w:firstLineChars="100" w:firstLine="200"/>
              <w:jc w:val="right"/>
              <w:rPr>
                <w:rFonts w:ascii="Calibri" w:hAnsi="Calibri" w:cs="Arial"/>
                <w:color w:val="0070C0"/>
                <w:sz w:val="20"/>
                <w:szCs w:val="20"/>
              </w:rPr>
            </w:pPr>
            <w:r w:rsidRPr="00804A0D">
              <w:rPr>
                <w:rFonts w:ascii="Calibri" w:hAnsi="Calibri" w:cs="Arial"/>
                <w:color w:val="0070C0"/>
                <w:sz w:val="20"/>
                <w:szCs w:val="20"/>
              </w:rPr>
              <w:t> </w:t>
            </w:r>
          </w:p>
        </w:tc>
        <w:tc>
          <w:tcPr>
            <w:tcW w:w="474" w:type="pct"/>
            <w:tcBorders>
              <w:top w:val="nil"/>
              <w:left w:val="nil"/>
              <w:bottom w:val="single" w:sz="4" w:space="0" w:color="auto"/>
              <w:right w:val="nil"/>
            </w:tcBorders>
            <w:shd w:val="clear" w:color="auto" w:fill="FFFFFF"/>
            <w:noWrap/>
            <w:vAlign w:val="center"/>
          </w:tcPr>
          <w:p w:rsidR="007D7680" w:rsidRPr="00804A0D" w:rsidRDefault="007D7680" w:rsidP="00C575C9">
            <w:pPr>
              <w:ind w:firstLineChars="100" w:firstLine="200"/>
              <w:jc w:val="right"/>
              <w:rPr>
                <w:rFonts w:ascii="Calibri" w:hAnsi="Calibri" w:cs="Arial"/>
                <w:color w:val="0070C0"/>
                <w:sz w:val="20"/>
                <w:szCs w:val="20"/>
              </w:rPr>
            </w:pPr>
            <w:r w:rsidRPr="00804A0D">
              <w:rPr>
                <w:rFonts w:ascii="Calibri" w:hAnsi="Calibri" w:cs="Arial"/>
                <w:color w:val="0070C0"/>
                <w:sz w:val="20"/>
                <w:szCs w:val="20"/>
              </w:rPr>
              <w:t> |</w:t>
            </w:r>
          </w:p>
        </w:tc>
      </w:tr>
      <w:tr w:rsidR="007D7680" w:rsidRPr="00616D8F" w:rsidTr="00C575C9">
        <w:trPr>
          <w:trHeight w:hRule="exact" w:val="210"/>
          <w:jc w:val="center"/>
        </w:trPr>
        <w:tc>
          <w:tcPr>
            <w:tcW w:w="4526" w:type="pct"/>
            <w:gridSpan w:val="4"/>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sz w:val="20"/>
                <w:szCs w:val="20"/>
              </w:rPr>
            </w:pPr>
            <w:r w:rsidRPr="001F2B4A">
              <w:rPr>
                <w:rFonts w:ascii="Calibri" w:hAnsi="Calibri" w:cs="Arial"/>
                <w:sz w:val="20"/>
                <w:szCs w:val="20"/>
              </w:rPr>
              <w:t>1/ Se contabilizan estudiantes que obtuvieron los grados de Diplomado o Profesorado.</w:t>
            </w:r>
          </w:p>
        </w:tc>
        <w:tc>
          <w:tcPr>
            <w:tcW w:w="474" w:type="pct"/>
            <w:tcBorders>
              <w:top w:val="nil"/>
              <w:left w:val="nil"/>
              <w:bottom w:val="nil"/>
              <w:right w:val="nil"/>
            </w:tcBorders>
            <w:shd w:val="clear" w:color="auto" w:fill="FFFFFF"/>
            <w:noWrap/>
            <w:vAlign w:val="center"/>
          </w:tcPr>
          <w:p w:rsidR="007D7680" w:rsidRPr="00616D8F" w:rsidRDefault="007D7680" w:rsidP="00C575C9">
            <w:pPr>
              <w:rPr>
                <w:rFonts w:ascii="Calibri" w:hAnsi="Calibri" w:cs="Arial"/>
                <w:color w:val="0070C0"/>
                <w:sz w:val="20"/>
                <w:szCs w:val="20"/>
              </w:rPr>
            </w:pPr>
            <w:r w:rsidRPr="00616D8F">
              <w:rPr>
                <w:rFonts w:ascii="Calibri" w:hAnsi="Calibri" w:cs="Arial"/>
                <w:color w:val="0070C0"/>
                <w:sz w:val="20"/>
                <w:szCs w:val="20"/>
              </w:rPr>
              <w:t> </w:t>
            </w:r>
          </w:p>
        </w:tc>
      </w:tr>
      <w:tr w:rsidR="007D7680" w:rsidRPr="00616D8F" w:rsidTr="00C575C9">
        <w:trPr>
          <w:trHeight w:hRule="exact" w:val="210"/>
          <w:jc w:val="center"/>
        </w:trPr>
        <w:tc>
          <w:tcPr>
            <w:tcW w:w="4526" w:type="pct"/>
            <w:gridSpan w:val="4"/>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sz w:val="20"/>
                <w:szCs w:val="20"/>
              </w:rPr>
            </w:pPr>
            <w:r w:rsidRPr="001F2B4A">
              <w:rPr>
                <w:rFonts w:ascii="Calibri" w:hAnsi="Calibri" w:cs="Arial"/>
                <w:sz w:val="20"/>
                <w:szCs w:val="20"/>
              </w:rPr>
              <w:t>2/ Se contabilizan estudiantes que obtuvieron los grados de Bachillerato o Licenciatura.</w:t>
            </w:r>
          </w:p>
        </w:tc>
        <w:tc>
          <w:tcPr>
            <w:tcW w:w="474" w:type="pct"/>
            <w:tcBorders>
              <w:top w:val="nil"/>
              <w:left w:val="nil"/>
              <w:bottom w:val="nil"/>
              <w:right w:val="nil"/>
            </w:tcBorders>
            <w:shd w:val="clear" w:color="auto" w:fill="FFFFFF"/>
            <w:noWrap/>
            <w:vAlign w:val="center"/>
          </w:tcPr>
          <w:p w:rsidR="007D7680" w:rsidRPr="00616D8F" w:rsidRDefault="007D7680" w:rsidP="00C575C9">
            <w:pPr>
              <w:rPr>
                <w:rFonts w:ascii="Calibri" w:hAnsi="Calibri" w:cs="Arial"/>
                <w:color w:val="0070C0"/>
                <w:sz w:val="20"/>
                <w:szCs w:val="20"/>
              </w:rPr>
            </w:pPr>
            <w:r w:rsidRPr="00616D8F">
              <w:rPr>
                <w:rFonts w:ascii="Calibri" w:hAnsi="Calibri" w:cs="Arial"/>
                <w:color w:val="0070C0"/>
                <w:sz w:val="20"/>
                <w:szCs w:val="20"/>
              </w:rPr>
              <w:t> </w:t>
            </w:r>
          </w:p>
        </w:tc>
      </w:tr>
      <w:tr w:rsidR="007D7680" w:rsidRPr="00616D8F" w:rsidTr="00C575C9">
        <w:trPr>
          <w:trHeight w:hRule="exact" w:val="210"/>
          <w:jc w:val="center"/>
        </w:trPr>
        <w:tc>
          <w:tcPr>
            <w:tcW w:w="5000" w:type="pct"/>
            <w:gridSpan w:val="5"/>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sz w:val="20"/>
                <w:szCs w:val="20"/>
              </w:rPr>
            </w:pPr>
            <w:r w:rsidRPr="001F2B4A">
              <w:rPr>
                <w:rFonts w:ascii="Calibri" w:hAnsi="Calibri" w:cs="Arial"/>
                <w:sz w:val="20"/>
                <w:szCs w:val="20"/>
              </w:rPr>
              <w:t>3/ Se contabilizan estudiantes que obtuvieron los grados de Magíster, Maestría o Doctorado.</w:t>
            </w:r>
          </w:p>
        </w:tc>
      </w:tr>
      <w:tr w:rsidR="007D7680" w:rsidRPr="00616D8F" w:rsidTr="00C575C9">
        <w:trPr>
          <w:trHeight w:hRule="exact" w:val="210"/>
          <w:jc w:val="center"/>
        </w:trPr>
        <w:tc>
          <w:tcPr>
            <w:tcW w:w="2905" w:type="pct"/>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sz w:val="20"/>
                <w:szCs w:val="20"/>
              </w:rPr>
            </w:pPr>
            <w:r w:rsidRPr="001F2B4A">
              <w:rPr>
                <w:rFonts w:ascii="Calibri" w:hAnsi="Calibri" w:cs="Arial"/>
                <w:sz w:val="20"/>
                <w:szCs w:val="20"/>
              </w:rPr>
              <w:t> </w:t>
            </w:r>
          </w:p>
        </w:tc>
        <w:tc>
          <w:tcPr>
            <w:tcW w:w="572" w:type="pct"/>
            <w:tcBorders>
              <w:top w:val="nil"/>
              <w:left w:val="nil"/>
              <w:bottom w:val="nil"/>
              <w:right w:val="nil"/>
            </w:tcBorders>
            <w:shd w:val="clear" w:color="auto" w:fill="FFFFFF"/>
            <w:noWrap/>
            <w:vAlign w:val="center"/>
          </w:tcPr>
          <w:p w:rsidR="007D7680" w:rsidRPr="001F2B4A" w:rsidRDefault="007D7680" w:rsidP="00C575C9">
            <w:pPr>
              <w:ind w:firstLineChars="100" w:firstLine="200"/>
              <w:rPr>
                <w:rFonts w:ascii="Calibri" w:hAnsi="Calibri" w:cs="Arial"/>
                <w:sz w:val="20"/>
                <w:szCs w:val="20"/>
              </w:rPr>
            </w:pPr>
            <w:r w:rsidRPr="001F2B4A">
              <w:rPr>
                <w:rFonts w:ascii="Calibri" w:hAnsi="Calibri" w:cs="Arial"/>
                <w:sz w:val="20"/>
                <w:szCs w:val="20"/>
              </w:rPr>
              <w:t> </w:t>
            </w:r>
          </w:p>
        </w:tc>
        <w:tc>
          <w:tcPr>
            <w:tcW w:w="470" w:type="pct"/>
            <w:tcBorders>
              <w:top w:val="nil"/>
              <w:left w:val="nil"/>
              <w:bottom w:val="nil"/>
              <w:right w:val="nil"/>
            </w:tcBorders>
            <w:shd w:val="clear" w:color="auto" w:fill="FFFFFF"/>
            <w:noWrap/>
            <w:vAlign w:val="center"/>
          </w:tcPr>
          <w:p w:rsidR="007D7680" w:rsidRPr="001F2B4A" w:rsidRDefault="007D7680" w:rsidP="00C575C9">
            <w:pPr>
              <w:ind w:firstLineChars="100" w:firstLine="200"/>
              <w:rPr>
                <w:rFonts w:ascii="Calibri" w:hAnsi="Calibri" w:cs="Arial"/>
                <w:sz w:val="20"/>
                <w:szCs w:val="20"/>
              </w:rPr>
            </w:pPr>
            <w:r w:rsidRPr="001F2B4A">
              <w:rPr>
                <w:rFonts w:ascii="Calibri" w:hAnsi="Calibri" w:cs="Arial"/>
                <w:sz w:val="20"/>
                <w:szCs w:val="20"/>
              </w:rPr>
              <w:t> </w:t>
            </w:r>
          </w:p>
        </w:tc>
        <w:tc>
          <w:tcPr>
            <w:tcW w:w="579" w:type="pct"/>
            <w:tcBorders>
              <w:top w:val="nil"/>
              <w:left w:val="nil"/>
              <w:bottom w:val="nil"/>
              <w:right w:val="nil"/>
            </w:tcBorders>
            <w:shd w:val="clear" w:color="auto" w:fill="FFFFFF"/>
            <w:noWrap/>
            <w:vAlign w:val="center"/>
          </w:tcPr>
          <w:p w:rsidR="007D7680" w:rsidRPr="001F2B4A" w:rsidRDefault="007D7680" w:rsidP="00C575C9">
            <w:pPr>
              <w:ind w:firstLineChars="100" w:firstLine="200"/>
              <w:rPr>
                <w:rFonts w:ascii="Calibri" w:hAnsi="Calibri" w:cs="Arial"/>
                <w:sz w:val="20"/>
                <w:szCs w:val="20"/>
              </w:rPr>
            </w:pPr>
            <w:r w:rsidRPr="001F2B4A">
              <w:rPr>
                <w:rFonts w:ascii="Calibri" w:hAnsi="Calibri" w:cs="Arial"/>
                <w:sz w:val="20"/>
                <w:szCs w:val="20"/>
              </w:rPr>
              <w:t> </w:t>
            </w:r>
          </w:p>
        </w:tc>
        <w:tc>
          <w:tcPr>
            <w:tcW w:w="474" w:type="pct"/>
            <w:tcBorders>
              <w:top w:val="nil"/>
              <w:left w:val="nil"/>
              <w:bottom w:val="nil"/>
              <w:right w:val="nil"/>
            </w:tcBorders>
            <w:shd w:val="clear" w:color="auto" w:fill="FFFFFF"/>
            <w:noWrap/>
            <w:vAlign w:val="center"/>
          </w:tcPr>
          <w:p w:rsidR="007D7680" w:rsidRPr="00616D8F" w:rsidRDefault="007D7680" w:rsidP="00C575C9">
            <w:pPr>
              <w:ind w:firstLineChars="100" w:firstLine="200"/>
              <w:rPr>
                <w:rFonts w:ascii="Calibri" w:hAnsi="Calibri" w:cs="Arial"/>
                <w:color w:val="0070C0"/>
                <w:sz w:val="20"/>
                <w:szCs w:val="20"/>
              </w:rPr>
            </w:pPr>
            <w:r w:rsidRPr="00616D8F">
              <w:rPr>
                <w:rFonts w:ascii="Calibri" w:hAnsi="Calibri" w:cs="Arial"/>
                <w:color w:val="0070C0"/>
                <w:sz w:val="20"/>
                <w:szCs w:val="20"/>
              </w:rPr>
              <w:t> </w:t>
            </w:r>
          </w:p>
        </w:tc>
      </w:tr>
      <w:tr w:rsidR="007D7680" w:rsidRPr="000C7F0F" w:rsidTr="00C575C9">
        <w:trPr>
          <w:trHeight w:hRule="exact" w:val="210"/>
          <w:jc w:val="center"/>
        </w:trPr>
        <w:tc>
          <w:tcPr>
            <w:tcW w:w="4526" w:type="pct"/>
            <w:gridSpan w:val="4"/>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b/>
                <w:bCs/>
                <w:i/>
                <w:sz w:val="20"/>
                <w:szCs w:val="20"/>
              </w:rPr>
            </w:pPr>
            <w:r w:rsidRPr="001F2B4A">
              <w:rPr>
                <w:rFonts w:ascii="Calibri" w:hAnsi="Calibri" w:cs="Arial"/>
                <w:b/>
                <w:bCs/>
                <w:i/>
                <w:sz w:val="20"/>
                <w:szCs w:val="20"/>
              </w:rPr>
              <w:t>Fuente:</w:t>
            </w:r>
            <w:r w:rsidRPr="001F2B4A">
              <w:rPr>
                <w:rFonts w:ascii="Calibri" w:hAnsi="Calibri" w:cs="Arial"/>
                <w:i/>
                <w:sz w:val="20"/>
                <w:szCs w:val="20"/>
              </w:rPr>
              <w:t>Apeuna, con datos suministrados por el Departamento de Registro.</w:t>
            </w:r>
          </w:p>
        </w:tc>
        <w:tc>
          <w:tcPr>
            <w:tcW w:w="474" w:type="pct"/>
            <w:tcBorders>
              <w:top w:val="nil"/>
              <w:left w:val="nil"/>
              <w:bottom w:val="nil"/>
              <w:right w:val="nil"/>
            </w:tcBorders>
            <w:shd w:val="clear" w:color="auto" w:fill="FFFFFF"/>
            <w:noWrap/>
            <w:vAlign w:val="center"/>
          </w:tcPr>
          <w:p w:rsidR="007D7680" w:rsidRPr="000C7F0F" w:rsidRDefault="007D7680" w:rsidP="00C575C9">
            <w:pPr>
              <w:rPr>
                <w:rFonts w:ascii="Calibri" w:hAnsi="Calibri" w:cs="Arial"/>
                <w:i/>
                <w:sz w:val="20"/>
                <w:szCs w:val="20"/>
              </w:rPr>
            </w:pPr>
            <w:r w:rsidRPr="000C7F0F">
              <w:rPr>
                <w:rFonts w:ascii="Calibri" w:hAnsi="Calibri" w:cs="Arial"/>
                <w:i/>
                <w:sz w:val="20"/>
                <w:szCs w:val="20"/>
              </w:rPr>
              <w:t> </w:t>
            </w:r>
          </w:p>
        </w:tc>
      </w:tr>
      <w:tr w:rsidR="007D7680" w:rsidRPr="00616D8F" w:rsidTr="00C575C9">
        <w:trPr>
          <w:trHeight w:hRule="exact" w:val="210"/>
          <w:jc w:val="center"/>
        </w:trPr>
        <w:tc>
          <w:tcPr>
            <w:tcW w:w="4526" w:type="pct"/>
            <w:gridSpan w:val="4"/>
            <w:tcBorders>
              <w:top w:val="nil"/>
              <w:left w:val="nil"/>
              <w:bottom w:val="nil"/>
              <w:right w:val="nil"/>
            </w:tcBorders>
            <w:shd w:val="clear" w:color="auto" w:fill="FFFFFF"/>
            <w:noWrap/>
            <w:vAlign w:val="center"/>
          </w:tcPr>
          <w:p w:rsidR="007D7680" w:rsidRPr="001F2B4A" w:rsidRDefault="007D7680" w:rsidP="00C575C9">
            <w:pPr>
              <w:rPr>
                <w:rFonts w:ascii="Calibri" w:hAnsi="Calibri" w:cs="Arial"/>
                <w:b/>
                <w:bCs/>
                <w:i/>
                <w:sz w:val="20"/>
                <w:szCs w:val="20"/>
              </w:rPr>
            </w:pPr>
          </w:p>
        </w:tc>
        <w:tc>
          <w:tcPr>
            <w:tcW w:w="474" w:type="pct"/>
            <w:tcBorders>
              <w:top w:val="nil"/>
              <w:left w:val="nil"/>
              <w:bottom w:val="nil"/>
              <w:right w:val="nil"/>
            </w:tcBorders>
            <w:shd w:val="clear" w:color="auto" w:fill="FFFFFF"/>
            <w:noWrap/>
            <w:vAlign w:val="center"/>
          </w:tcPr>
          <w:p w:rsidR="007D7680" w:rsidRPr="00616D8F" w:rsidRDefault="007D7680" w:rsidP="00C575C9">
            <w:pPr>
              <w:rPr>
                <w:rFonts w:ascii="Calibri" w:hAnsi="Calibri" w:cs="Arial"/>
                <w:i/>
                <w:color w:val="0070C0"/>
                <w:sz w:val="20"/>
                <w:szCs w:val="20"/>
              </w:rPr>
            </w:pPr>
          </w:p>
        </w:tc>
      </w:tr>
    </w:tbl>
    <w:p w:rsidR="007D7680" w:rsidRDefault="007D7680">
      <w:bookmarkStart w:id="50" w:name="_GoBack"/>
      <w:bookmarkEnd w:id="50"/>
    </w:p>
    <w:p w:rsidR="007D7680" w:rsidRDefault="007D7680"/>
    <w:p w:rsidR="007D7680" w:rsidRDefault="007D7680"/>
    <w:p w:rsidR="007D7680" w:rsidRDefault="007D7680">
      <w:pPr>
        <w:sectPr w:rsidR="007D7680">
          <w:footerReference w:type="default" r:id="rId16"/>
          <w:pgSz w:w="12240" w:h="15840"/>
          <w:pgMar w:top="1134" w:right="1134" w:bottom="1134" w:left="1134" w:header="0" w:footer="720" w:gutter="0"/>
          <w:cols w:space="720"/>
          <w:formProt w:val="0"/>
          <w:titlePg/>
          <w:docGrid w:linePitch="240" w:charSpace="-6145"/>
        </w:sectPr>
      </w:pPr>
    </w:p>
    <w:p w:rsidR="00F87902" w:rsidRDefault="00A519F9">
      <w:pPr>
        <w:spacing w:line="360" w:lineRule="auto"/>
        <w:ind w:left="708"/>
        <w:jc w:val="both"/>
      </w:pPr>
      <w:r>
        <w:rPr>
          <w:rFonts w:ascii="Arial" w:hAnsi="Arial" w:cs="Arial"/>
          <w:b/>
        </w:rPr>
        <w:lastRenderedPageBreak/>
        <w:t xml:space="preserve">Meta 1.2 Ejecutar 19 programas, proyectos y actividades (PPAA) que apoyen la innovación y la diversificación universitarias.     </w:t>
      </w:r>
    </w:p>
    <w:p w:rsidR="00F87902" w:rsidRDefault="00F87902">
      <w:pPr>
        <w:spacing w:line="360" w:lineRule="auto"/>
        <w:ind w:left="708"/>
        <w:jc w:val="both"/>
        <w:rPr>
          <w:rFonts w:ascii="Arial" w:hAnsi="Arial" w:cs="Arial"/>
          <w:b/>
        </w:rPr>
      </w:pPr>
    </w:p>
    <w:p w:rsidR="00F87902" w:rsidRDefault="00A519F9">
      <w:pPr>
        <w:ind w:left="708"/>
        <w:jc w:val="both"/>
        <w:rPr>
          <w:rFonts w:ascii="Arial" w:hAnsi="Arial" w:cs="Arial"/>
          <w:sz w:val="22"/>
          <w:szCs w:val="22"/>
        </w:rPr>
      </w:pPr>
      <w:r>
        <w:rPr>
          <w:rFonts w:ascii="Arial" w:hAnsi="Arial" w:cs="Arial"/>
          <w:sz w:val="22"/>
          <w:szCs w:val="22"/>
        </w:rPr>
        <w:t xml:space="preserve">La meta muestra un cumplimiento del </w:t>
      </w:r>
      <w:r>
        <w:rPr>
          <w:rFonts w:ascii="Arial" w:hAnsi="Arial" w:cs="Arial"/>
          <w:b/>
          <w:sz w:val="22"/>
          <w:szCs w:val="22"/>
        </w:rPr>
        <w:t>100%</w:t>
      </w:r>
      <w:r>
        <w:rPr>
          <w:rFonts w:ascii="Arial" w:hAnsi="Arial" w:cs="Arial"/>
          <w:sz w:val="22"/>
          <w:szCs w:val="22"/>
        </w:rPr>
        <w:t>, atribuible a los logros obtenidos durante el año, incluso con un número de ppaa en ejecución que supera aquel programado:</w:t>
      </w:r>
    </w:p>
    <w:p w:rsidR="00F87902" w:rsidRDefault="00F87902">
      <w:pPr>
        <w:ind w:left="1068"/>
        <w:jc w:val="both"/>
        <w:rPr>
          <w:rFonts w:ascii="Arial" w:hAnsi="Arial" w:cs="Arial"/>
          <w:sz w:val="22"/>
          <w:szCs w:val="22"/>
        </w:rPr>
      </w:pPr>
    </w:p>
    <w:p w:rsidR="00F87902" w:rsidRDefault="00A519F9">
      <w:pPr>
        <w:numPr>
          <w:ilvl w:val="0"/>
          <w:numId w:val="9"/>
        </w:numPr>
        <w:jc w:val="both"/>
        <w:rPr>
          <w:rFonts w:ascii="Arial" w:hAnsi="Arial" w:cs="Arial"/>
          <w:sz w:val="22"/>
          <w:szCs w:val="22"/>
        </w:rPr>
      </w:pPr>
      <w:r>
        <w:rPr>
          <w:rFonts w:ascii="Arial" w:hAnsi="Arial" w:cs="Arial"/>
          <w:b/>
          <w:sz w:val="22"/>
          <w:szCs w:val="22"/>
        </w:rPr>
        <w:t xml:space="preserve">36 </w:t>
      </w:r>
      <w:r>
        <w:rPr>
          <w:rFonts w:ascii="Arial" w:hAnsi="Arial" w:cs="Arial"/>
          <w:sz w:val="22"/>
          <w:szCs w:val="22"/>
        </w:rPr>
        <w:t xml:space="preserve">programas, proyectos y actividades académicas desarrolladas: 13 actividades, 4 laboratorios y 19 proyectos. </w:t>
      </w:r>
    </w:p>
    <w:p w:rsidR="00F87902" w:rsidRDefault="00F87902">
      <w:pPr>
        <w:ind w:left="1068"/>
        <w:jc w:val="both"/>
        <w:rPr>
          <w:rFonts w:ascii="Arial" w:hAnsi="Arial" w:cs="Arial"/>
          <w:sz w:val="22"/>
          <w:szCs w:val="22"/>
        </w:rPr>
      </w:pPr>
    </w:p>
    <w:p w:rsidR="00F87902" w:rsidRDefault="00A519F9">
      <w:pPr>
        <w:ind w:left="1068"/>
        <w:jc w:val="both"/>
        <w:rPr>
          <w:rFonts w:ascii="Arial" w:hAnsi="Arial" w:cs="Arial"/>
          <w:sz w:val="22"/>
          <w:szCs w:val="22"/>
        </w:rPr>
      </w:pPr>
      <w:r>
        <w:rPr>
          <w:rFonts w:ascii="Arial" w:hAnsi="Arial" w:cs="Arial"/>
          <w:sz w:val="22"/>
          <w:szCs w:val="22"/>
        </w:rPr>
        <w:t>Las siguientes actividades ejemplifican el desarrollo de lo descrito anteriormente:</w:t>
      </w:r>
    </w:p>
    <w:p w:rsidR="00F87902" w:rsidRDefault="00F87902">
      <w:pPr>
        <w:ind w:left="1068"/>
        <w:jc w:val="both"/>
        <w:rPr>
          <w:rFonts w:ascii="Arial" w:hAnsi="Arial" w:cs="Arial"/>
          <w:sz w:val="22"/>
          <w:szCs w:val="22"/>
        </w:rPr>
      </w:pPr>
    </w:p>
    <w:p w:rsidR="00F87902" w:rsidRDefault="00A519F9">
      <w:pPr>
        <w:numPr>
          <w:ilvl w:val="0"/>
          <w:numId w:val="20"/>
        </w:numPr>
        <w:ind w:left="1428"/>
        <w:jc w:val="both"/>
        <w:rPr>
          <w:rFonts w:ascii="Arial" w:hAnsi="Arial" w:cs="Arial"/>
          <w:sz w:val="22"/>
          <w:szCs w:val="22"/>
        </w:rPr>
      </w:pPr>
      <w:r>
        <w:rPr>
          <w:rFonts w:ascii="Arial" w:hAnsi="Arial" w:cs="Arial"/>
          <w:b/>
          <w:sz w:val="22"/>
          <w:szCs w:val="22"/>
        </w:rPr>
        <w:t>80% de avance</w:t>
      </w:r>
      <w:r>
        <w:rPr>
          <w:rFonts w:ascii="Arial" w:hAnsi="Arial" w:cs="Arial"/>
          <w:sz w:val="22"/>
          <w:szCs w:val="22"/>
        </w:rPr>
        <w:t xml:space="preserve"> en la generación de unidades didácticas: investigación sobre temas en que se requiera documentar actividades, recopilación de información para realizar unidades didácticas con base en las experiencias en los diferentes estudios del programa, 4 folletos en el desarrollo del proyecto, un artículo relacionado con el tema de cargas de trabajo en proceso de finalización para ser publicado, en el contexto de fortalecimiento del proceso de investigación y docencia de la Escuela de Ciencias Ambientales.</w:t>
      </w:r>
    </w:p>
    <w:p w:rsidR="00F87902" w:rsidRDefault="00A519F9">
      <w:pPr>
        <w:numPr>
          <w:ilvl w:val="0"/>
          <w:numId w:val="20"/>
        </w:numPr>
        <w:ind w:left="1428"/>
        <w:jc w:val="both"/>
        <w:rPr>
          <w:rFonts w:ascii="Arial" w:hAnsi="Arial" w:cs="Arial"/>
          <w:sz w:val="22"/>
          <w:szCs w:val="22"/>
        </w:rPr>
      </w:pPr>
      <w:r>
        <w:rPr>
          <w:rFonts w:ascii="Arial" w:hAnsi="Arial" w:cs="Arial"/>
          <w:b/>
          <w:sz w:val="22"/>
          <w:szCs w:val="22"/>
        </w:rPr>
        <w:t xml:space="preserve">6 actividades </w:t>
      </w:r>
      <w:r>
        <w:rPr>
          <w:rFonts w:ascii="Arial" w:hAnsi="Arial" w:cs="Arial"/>
          <w:sz w:val="22"/>
          <w:szCs w:val="22"/>
        </w:rPr>
        <w:t>orientadas a potenciar el conocimiento adquirido a través de la capacitación, actualización y formación del personal docente y de oficina, en áreas del secretariado definidas como estratégicas para el desarrollo de las tareas propias de su profesión (100%); actividades de coordinación con instituciones, reuniones con estudiantes y tutores, visitas de supervisión  por parte de tutores, en el ámbito del fortalecimiento de la formación dual en las áreas de Administración de oficinas y Educación comercial como un modelo pedagógico innovador (100%); todo en el contexto de la Escuela de Secretariado Profesional.</w:t>
      </w:r>
    </w:p>
    <w:p w:rsidR="00F87902" w:rsidRDefault="00A519F9">
      <w:pPr>
        <w:numPr>
          <w:ilvl w:val="0"/>
          <w:numId w:val="20"/>
        </w:numPr>
        <w:ind w:left="1428"/>
        <w:jc w:val="both"/>
        <w:rPr>
          <w:rFonts w:ascii="Arial" w:hAnsi="Arial" w:cs="Arial"/>
          <w:sz w:val="22"/>
          <w:szCs w:val="22"/>
        </w:rPr>
      </w:pPr>
      <w:r>
        <w:rPr>
          <w:rFonts w:ascii="Arial" w:hAnsi="Arial" w:cs="Arial"/>
          <w:b/>
          <w:sz w:val="22"/>
          <w:szCs w:val="22"/>
        </w:rPr>
        <w:t xml:space="preserve">56 participantes </w:t>
      </w:r>
      <w:r>
        <w:rPr>
          <w:rFonts w:ascii="Arial" w:hAnsi="Arial" w:cs="Arial"/>
          <w:sz w:val="22"/>
          <w:szCs w:val="22"/>
        </w:rPr>
        <w:t>de la Escuela de Música en presentaciones artísticas, campamentos, conciertos, festivales, etc.: 23 académicos participando en conciertos, festivales, en calidad de talleristas, ponentes o para capacitaciones (Brasil, Suiza, España, Perú, etcétera), y aval a ayudas económicas para 46 estudiantes que participaron en recitales y festivales en México, Estados Unidos, Alemania y en el país (más del 100% estimado).</w:t>
      </w:r>
    </w:p>
    <w:p w:rsidR="00F87902" w:rsidRDefault="00F87902">
      <w:pPr>
        <w:jc w:val="both"/>
        <w:rPr>
          <w:rFonts w:ascii="Arial" w:hAnsi="Arial" w:cs="Arial"/>
          <w:sz w:val="22"/>
          <w:szCs w:val="22"/>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 xml:space="preserve">A continuación se detalla la ejecución presupuestaria por metas del presente objetivo, con corte al 31 de diciembre del 2015. </w:t>
      </w: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center"/>
        <w:rPr>
          <w:rFonts w:ascii="Arial" w:hAnsi="Arial" w:cs="Arial"/>
          <w:b/>
        </w:rPr>
      </w:pPr>
      <w:r>
        <w:rPr>
          <w:rFonts w:ascii="Arial" w:hAnsi="Arial" w:cs="Arial"/>
          <w:b/>
        </w:rPr>
        <w:t>CUADRO N°4</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w:t>
      </w:r>
    </w:p>
    <w:p w:rsidR="00F87902" w:rsidRDefault="00A519F9">
      <w:pPr>
        <w:jc w:val="center"/>
        <w:rPr>
          <w:rFonts w:ascii="Arial" w:hAnsi="Arial" w:cs="Arial"/>
          <w:sz w:val="22"/>
          <w:szCs w:val="22"/>
        </w:rPr>
      </w:pPr>
      <w:r>
        <w:rPr>
          <w:rFonts w:ascii="Arial" w:hAnsi="Arial" w:cs="Arial"/>
          <w:sz w:val="22"/>
          <w:szCs w:val="22"/>
        </w:rPr>
        <w:t>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color w:val="0070C0"/>
          <w:u w:val="single"/>
        </w:rPr>
      </w:pPr>
    </w:p>
    <w:tbl>
      <w:tblPr>
        <w:tblW w:w="8720" w:type="dxa"/>
        <w:jc w:val="center"/>
        <w:tblBorders>
          <w:top w:val="single" w:sz="18" w:space="0" w:color="00000A"/>
        </w:tblBorders>
        <w:tblLook w:val="04A0"/>
      </w:tblPr>
      <w:tblGrid>
        <w:gridCol w:w="1389"/>
        <w:gridCol w:w="1506"/>
        <w:gridCol w:w="2387"/>
        <w:gridCol w:w="232"/>
        <w:gridCol w:w="1762"/>
        <w:gridCol w:w="1444"/>
      </w:tblGrid>
      <w:tr w:rsidR="00F87902">
        <w:trPr>
          <w:jc w:val="center"/>
        </w:trPr>
        <w:tc>
          <w:tcPr>
            <w:tcW w:w="1389"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93"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05"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89"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50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38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62"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44"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89"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1.1</w:t>
            </w:r>
          </w:p>
        </w:tc>
        <w:tc>
          <w:tcPr>
            <w:tcW w:w="1506" w:type="dxa"/>
            <w:tcBorders>
              <w:top w:val="single" w:sz="12" w:space="0" w:color="00000A"/>
            </w:tcBorders>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23.484,9</w:t>
            </w:r>
          </w:p>
        </w:tc>
        <w:tc>
          <w:tcPr>
            <w:tcW w:w="2386" w:type="dxa"/>
            <w:tcBorders>
              <w:top w:val="single" w:sz="12" w:space="0" w:color="00000A"/>
            </w:tcBorders>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23.417,5</w:t>
            </w:r>
          </w:p>
        </w:tc>
        <w:tc>
          <w:tcPr>
            <w:tcW w:w="232" w:type="dxa"/>
            <w:tcBorders>
              <w:top w:val="single" w:sz="12" w:space="0" w:color="00000A"/>
            </w:tcBorders>
            <w:shd w:val="clear" w:color="auto" w:fill="auto"/>
          </w:tcPr>
          <w:p w:rsidR="00F87902" w:rsidRDefault="00F87902">
            <w:pPr>
              <w:jc w:val="center"/>
              <w:rPr>
                <w:rFonts w:ascii="Arial" w:hAnsi="Arial" w:cs="Arial"/>
                <w:sz w:val="20"/>
                <w:szCs w:val="20"/>
              </w:rPr>
            </w:pPr>
          </w:p>
        </w:tc>
        <w:tc>
          <w:tcPr>
            <w:tcW w:w="1762"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21.649,5</w:t>
            </w:r>
          </w:p>
        </w:tc>
        <w:tc>
          <w:tcPr>
            <w:tcW w:w="1444"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92,4%</w:t>
            </w:r>
          </w:p>
        </w:tc>
      </w:tr>
      <w:tr w:rsidR="00F87902">
        <w:trPr>
          <w:jc w:val="center"/>
        </w:trPr>
        <w:tc>
          <w:tcPr>
            <w:tcW w:w="1389" w:type="dxa"/>
            <w:shd w:val="clear" w:color="auto" w:fill="auto"/>
          </w:tcPr>
          <w:p w:rsidR="00F87902" w:rsidRDefault="00A519F9">
            <w:pPr>
              <w:jc w:val="center"/>
              <w:rPr>
                <w:rFonts w:ascii="Arial" w:hAnsi="Arial" w:cs="Arial"/>
                <w:b/>
                <w:sz w:val="20"/>
                <w:szCs w:val="20"/>
              </w:rPr>
            </w:pPr>
            <w:r>
              <w:rPr>
                <w:rFonts w:ascii="Arial" w:hAnsi="Arial" w:cs="Arial"/>
                <w:b/>
                <w:sz w:val="20"/>
                <w:szCs w:val="20"/>
              </w:rPr>
              <w:t>1.2</w:t>
            </w:r>
          </w:p>
        </w:tc>
        <w:tc>
          <w:tcPr>
            <w:tcW w:w="1506"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232,6</w:t>
            </w:r>
          </w:p>
        </w:tc>
        <w:tc>
          <w:tcPr>
            <w:tcW w:w="2386"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188,1</w:t>
            </w:r>
          </w:p>
        </w:tc>
        <w:tc>
          <w:tcPr>
            <w:tcW w:w="232" w:type="dxa"/>
            <w:shd w:val="clear" w:color="auto" w:fill="auto"/>
          </w:tcPr>
          <w:p w:rsidR="00F87902" w:rsidRDefault="00F87902">
            <w:pPr>
              <w:jc w:val="center"/>
              <w:rPr>
                <w:rFonts w:ascii="Arial" w:hAnsi="Arial" w:cs="Arial"/>
                <w:sz w:val="20"/>
                <w:szCs w:val="20"/>
              </w:rPr>
            </w:pPr>
          </w:p>
        </w:tc>
        <w:tc>
          <w:tcPr>
            <w:tcW w:w="1762"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173,8</w:t>
            </w:r>
          </w:p>
        </w:tc>
        <w:tc>
          <w:tcPr>
            <w:tcW w:w="1444"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92,4%</w:t>
            </w:r>
          </w:p>
        </w:tc>
      </w:tr>
      <w:tr w:rsidR="00F87902">
        <w:trPr>
          <w:trHeight w:val="80"/>
          <w:jc w:val="center"/>
        </w:trPr>
        <w:tc>
          <w:tcPr>
            <w:tcW w:w="1389" w:type="dxa"/>
            <w:shd w:val="clear" w:color="auto" w:fill="auto"/>
          </w:tcPr>
          <w:p w:rsidR="00F87902" w:rsidRDefault="00F87902">
            <w:pPr>
              <w:jc w:val="center"/>
              <w:rPr>
                <w:rFonts w:ascii="Arial" w:hAnsi="Arial" w:cs="Arial"/>
                <w:b/>
                <w:sz w:val="20"/>
                <w:szCs w:val="20"/>
              </w:rPr>
            </w:pPr>
          </w:p>
        </w:tc>
        <w:tc>
          <w:tcPr>
            <w:tcW w:w="1506" w:type="dxa"/>
            <w:shd w:val="clear" w:color="auto" w:fill="auto"/>
            <w:vAlign w:val="bottom"/>
          </w:tcPr>
          <w:p w:rsidR="00F87902" w:rsidRDefault="00F87902">
            <w:pPr>
              <w:ind w:left="283" w:right="227"/>
              <w:jc w:val="right"/>
              <w:rPr>
                <w:rFonts w:ascii="Arial" w:hAnsi="Arial" w:cs="Arial"/>
                <w:sz w:val="20"/>
                <w:szCs w:val="20"/>
              </w:rPr>
            </w:pPr>
          </w:p>
        </w:tc>
        <w:tc>
          <w:tcPr>
            <w:tcW w:w="2386" w:type="dxa"/>
            <w:shd w:val="clear" w:color="auto" w:fill="auto"/>
            <w:vAlign w:val="bottom"/>
          </w:tcPr>
          <w:p w:rsidR="00F87902" w:rsidRDefault="00F87902">
            <w:pPr>
              <w:ind w:left="283" w:right="850"/>
              <w:jc w:val="right"/>
              <w:rPr>
                <w:rFonts w:ascii="Arial" w:hAnsi="Arial" w:cs="Arial"/>
                <w:sz w:val="20"/>
                <w:szCs w:val="20"/>
              </w:rPr>
            </w:pPr>
          </w:p>
        </w:tc>
        <w:tc>
          <w:tcPr>
            <w:tcW w:w="232" w:type="dxa"/>
            <w:shd w:val="clear" w:color="auto" w:fill="auto"/>
          </w:tcPr>
          <w:p w:rsidR="00F87902" w:rsidRDefault="00F87902">
            <w:pPr>
              <w:jc w:val="center"/>
              <w:rPr>
                <w:rFonts w:ascii="Arial" w:hAnsi="Arial" w:cs="Arial"/>
                <w:sz w:val="20"/>
                <w:szCs w:val="20"/>
              </w:rPr>
            </w:pPr>
          </w:p>
        </w:tc>
        <w:tc>
          <w:tcPr>
            <w:tcW w:w="1762" w:type="dxa"/>
            <w:shd w:val="clear" w:color="auto" w:fill="auto"/>
            <w:vAlign w:val="bottom"/>
          </w:tcPr>
          <w:p w:rsidR="00F87902" w:rsidRDefault="00F87902">
            <w:pPr>
              <w:ind w:left="283" w:right="340"/>
              <w:jc w:val="right"/>
              <w:rPr>
                <w:rFonts w:ascii="Arial" w:hAnsi="Arial" w:cs="Arial"/>
                <w:sz w:val="20"/>
                <w:szCs w:val="20"/>
              </w:rPr>
            </w:pPr>
          </w:p>
        </w:tc>
        <w:tc>
          <w:tcPr>
            <w:tcW w:w="1444" w:type="dxa"/>
            <w:shd w:val="clear" w:color="auto" w:fill="auto"/>
            <w:vAlign w:val="bottom"/>
          </w:tcPr>
          <w:p w:rsidR="00F87902" w:rsidRDefault="00F87902">
            <w:pPr>
              <w:ind w:left="283" w:right="340"/>
              <w:jc w:val="right"/>
              <w:rPr>
                <w:rFonts w:ascii="Arial" w:hAnsi="Arial" w:cs="Arial"/>
                <w:sz w:val="20"/>
                <w:szCs w:val="20"/>
              </w:rPr>
            </w:pPr>
          </w:p>
        </w:tc>
      </w:tr>
      <w:tr w:rsidR="00F87902">
        <w:trPr>
          <w:trHeight w:val="156"/>
          <w:jc w:val="center"/>
        </w:trPr>
        <w:tc>
          <w:tcPr>
            <w:tcW w:w="1389" w:type="dxa"/>
            <w:shd w:val="clear" w:color="auto" w:fill="auto"/>
          </w:tcPr>
          <w:p w:rsidR="00F87902" w:rsidRDefault="00F87902">
            <w:pPr>
              <w:jc w:val="center"/>
              <w:rPr>
                <w:rFonts w:ascii="Arial" w:hAnsi="Arial" w:cs="Arial"/>
                <w:sz w:val="20"/>
                <w:szCs w:val="20"/>
              </w:rPr>
            </w:pPr>
          </w:p>
        </w:tc>
        <w:tc>
          <w:tcPr>
            <w:tcW w:w="1506" w:type="dxa"/>
            <w:shd w:val="clear" w:color="auto" w:fill="auto"/>
          </w:tcPr>
          <w:p w:rsidR="00F87902" w:rsidRDefault="00F87902">
            <w:pPr>
              <w:ind w:left="283" w:right="227"/>
              <w:jc w:val="center"/>
              <w:rPr>
                <w:rFonts w:ascii="Arial" w:hAnsi="Arial" w:cs="Arial"/>
                <w:bCs/>
                <w:sz w:val="20"/>
                <w:szCs w:val="20"/>
              </w:rPr>
            </w:pPr>
          </w:p>
        </w:tc>
        <w:tc>
          <w:tcPr>
            <w:tcW w:w="2386" w:type="dxa"/>
            <w:shd w:val="clear" w:color="auto" w:fill="auto"/>
          </w:tcPr>
          <w:p w:rsidR="00F87902" w:rsidRDefault="00F87902">
            <w:pPr>
              <w:ind w:left="283" w:right="850"/>
              <w:jc w:val="right"/>
              <w:rPr>
                <w:rFonts w:ascii="Arial" w:hAnsi="Arial" w:cs="Arial"/>
                <w:sz w:val="20"/>
                <w:szCs w:val="20"/>
              </w:rPr>
            </w:pPr>
          </w:p>
        </w:tc>
        <w:tc>
          <w:tcPr>
            <w:tcW w:w="232" w:type="dxa"/>
            <w:shd w:val="clear" w:color="auto" w:fill="auto"/>
          </w:tcPr>
          <w:p w:rsidR="00F87902" w:rsidRDefault="00F87902">
            <w:pPr>
              <w:jc w:val="center"/>
              <w:rPr>
                <w:rFonts w:ascii="Arial" w:hAnsi="Arial" w:cs="Arial"/>
                <w:sz w:val="20"/>
                <w:szCs w:val="20"/>
              </w:rPr>
            </w:pPr>
          </w:p>
        </w:tc>
        <w:tc>
          <w:tcPr>
            <w:tcW w:w="1762" w:type="dxa"/>
            <w:shd w:val="clear" w:color="auto" w:fill="auto"/>
          </w:tcPr>
          <w:p w:rsidR="00F87902" w:rsidRDefault="00F87902">
            <w:pPr>
              <w:ind w:left="283" w:right="340"/>
              <w:jc w:val="right"/>
              <w:rPr>
                <w:rFonts w:ascii="Arial" w:hAnsi="Arial" w:cs="Arial"/>
                <w:sz w:val="20"/>
                <w:szCs w:val="20"/>
              </w:rPr>
            </w:pPr>
          </w:p>
        </w:tc>
        <w:tc>
          <w:tcPr>
            <w:tcW w:w="1444" w:type="dxa"/>
            <w:shd w:val="clear" w:color="auto" w:fill="auto"/>
          </w:tcPr>
          <w:p w:rsidR="00F87902" w:rsidRDefault="00F87902">
            <w:pPr>
              <w:ind w:left="283" w:right="340"/>
              <w:jc w:val="right"/>
              <w:rPr>
                <w:rFonts w:ascii="Arial" w:hAnsi="Arial" w:cs="Arial"/>
                <w:sz w:val="20"/>
                <w:szCs w:val="20"/>
              </w:rPr>
            </w:pPr>
          </w:p>
        </w:tc>
      </w:tr>
      <w:tr w:rsidR="00F87902">
        <w:trPr>
          <w:jc w:val="center"/>
        </w:trPr>
        <w:tc>
          <w:tcPr>
            <w:tcW w:w="1389"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1</w:t>
            </w:r>
          </w:p>
          <w:p w:rsidR="00F87902" w:rsidRDefault="00F87902">
            <w:pPr>
              <w:jc w:val="center"/>
              <w:rPr>
                <w:rFonts w:ascii="Arial" w:hAnsi="Arial" w:cs="Arial"/>
                <w:b/>
                <w:sz w:val="20"/>
                <w:szCs w:val="20"/>
              </w:rPr>
            </w:pPr>
          </w:p>
        </w:tc>
        <w:tc>
          <w:tcPr>
            <w:tcW w:w="1506"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23.717,5</w:t>
            </w:r>
          </w:p>
        </w:tc>
        <w:tc>
          <w:tcPr>
            <w:tcW w:w="2386" w:type="dxa"/>
            <w:tcBorders>
              <w:top w:val="single" w:sz="18" w:space="0" w:color="00000A"/>
              <w:bottom w:val="single" w:sz="18" w:space="0" w:color="00000A"/>
            </w:tcBorders>
            <w:shd w:val="clear" w:color="auto" w:fill="auto"/>
          </w:tcPr>
          <w:p w:rsidR="00F87902" w:rsidRDefault="00A519F9">
            <w:pPr>
              <w:ind w:left="283" w:right="850"/>
              <w:jc w:val="right"/>
              <w:rPr>
                <w:rFonts w:ascii="Arial" w:hAnsi="Arial" w:cs="Arial"/>
                <w:b/>
                <w:sz w:val="20"/>
                <w:szCs w:val="20"/>
              </w:rPr>
            </w:pPr>
            <w:r>
              <w:rPr>
                <w:rFonts w:ascii="Arial" w:hAnsi="Arial" w:cs="Arial"/>
                <w:b/>
                <w:sz w:val="20"/>
                <w:szCs w:val="20"/>
              </w:rPr>
              <w:t>23.605,6</w:t>
            </w:r>
          </w:p>
        </w:tc>
        <w:tc>
          <w:tcPr>
            <w:tcW w:w="232" w:type="dxa"/>
            <w:tcBorders>
              <w:top w:val="single" w:sz="18" w:space="0" w:color="00000A"/>
              <w:bottom w:val="single" w:sz="18" w:space="0" w:color="00000A"/>
            </w:tcBorders>
            <w:shd w:val="clear" w:color="auto" w:fill="auto"/>
          </w:tcPr>
          <w:p w:rsidR="00F87902" w:rsidRDefault="00F87902">
            <w:pPr>
              <w:jc w:val="right"/>
              <w:rPr>
                <w:rFonts w:ascii="Arial" w:hAnsi="Arial" w:cs="Arial"/>
                <w:b/>
                <w:sz w:val="20"/>
                <w:szCs w:val="20"/>
              </w:rPr>
            </w:pPr>
          </w:p>
        </w:tc>
        <w:tc>
          <w:tcPr>
            <w:tcW w:w="1762"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21.823,4</w:t>
            </w:r>
          </w:p>
        </w:tc>
        <w:tc>
          <w:tcPr>
            <w:tcW w:w="1444"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92,4%</w:t>
            </w:r>
          </w:p>
          <w:p w:rsidR="00F87902" w:rsidRDefault="00F87902">
            <w:pPr>
              <w:ind w:left="283" w:right="340"/>
              <w:rPr>
                <w:rFonts w:ascii="Arial" w:hAnsi="Arial" w:cs="Arial"/>
                <w:b/>
                <w:sz w:val="20"/>
                <w:szCs w:val="20"/>
              </w:rPr>
            </w:pP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i/>
          <w:color w:val="0070C0"/>
          <w:sz w:val="18"/>
          <w:szCs w:val="18"/>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2.  Fortalecer el quehacer académico mediante la inversión en formación de recursos humanos, y en equipo científico y tecnológico, en las áreas prioritarias del Plan Mejoramiento Institucional (PMI).</w:t>
      </w:r>
    </w:p>
    <w:p w:rsidR="00F87902" w:rsidRDefault="00F87902">
      <w:pPr>
        <w:jc w:val="both"/>
        <w:rPr>
          <w:rFonts w:ascii="Arial" w:hAnsi="Arial" w:cs="Arial"/>
        </w:rPr>
      </w:pPr>
    </w:p>
    <w:p w:rsidR="00F87902" w:rsidRDefault="00A519F9">
      <w:pPr>
        <w:spacing w:line="360" w:lineRule="auto"/>
        <w:ind w:left="708"/>
        <w:jc w:val="both"/>
        <w:rPr>
          <w:rFonts w:ascii="Arial" w:hAnsi="Arial" w:cs="Arial"/>
          <w:b/>
        </w:rPr>
      </w:pPr>
      <w:r>
        <w:rPr>
          <w:rFonts w:ascii="Arial" w:hAnsi="Arial" w:cs="Arial"/>
          <w:b/>
        </w:rPr>
        <w:t xml:space="preserve">Meta 2.1  Adjudicar y dar seguimiento a 30 becarios, en concordancia con lo establecido en el PMI.           </w:t>
      </w:r>
    </w:p>
    <w:p w:rsidR="00F87902" w:rsidRDefault="00F87902">
      <w:pPr>
        <w:ind w:left="708"/>
        <w:jc w:val="both"/>
        <w:rPr>
          <w:rFonts w:ascii="Arial" w:hAnsi="Arial" w:cs="Arial"/>
          <w:sz w:val="22"/>
          <w:szCs w:val="22"/>
        </w:rPr>
      </w:pPr>
    </w:p>
    <w:p w:rsidR="00F87902" w:rsidRDefault="00A519F9">
      <w:pPr>
        <w:ind w:left="708"/>
        <w:jc w:val="both"/>
      </w:pPr>
      <w:r>
        <w:rPr>
          <w:rFonts w:ascii="Arial" w:hAnsi="Arial" w:cs="Arial"/>
          <w:sz w:val="22"/>
          <w:szCs w:val="22"/>
        </w:rPr>
        <w:t xml:space="preserve">El cumplimiento de meta corresponde al </w:t>
      </w:r>
      <w:r>
        <w:rPr>
          <w:rFonts w:ascii="Arial" w:hAnsi="Arial" w:cs="Arial"/>
          <w:b/>
          <w:sz w:val="22"/>
          <w:szCs w:val="22"/>
        </w:rPr>
        <w:t>100%</w:t>
      </w:r>
      <w:r>
        <w:rPr>
          <w:rFonts w:ascii="Arial" w:hAnsi="Arial" w:cs="Arial"/>
          <w:sz w:val="22"/>
          <w:szCs w:val="22"/>
        </w:rPr>
        <w:t>, según resultados que se muestran seguidamente:</w:t>
      </w:r>
    </w:p>
    <w:p w:rsidR="00F87902" w:rsidRDefault="00F87902">
      <w:pPr>
        <w:ind w:left="708"/>
        <w:jc w:val="both"/>
        <w:rPr>
          <w:rFonts w:ascii="Arial" w:hAnsi="Arial" w:cs="Arial"/>
          <w:b/>
          <w:i/>
          <w:color w:val="E36C0A" w:themeColor="accent6" w:themeShade="BF"/>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1 cronograma de ejecución de becas </w:t>
      </w:r>
      <w:r>
        <w:rPr>
          <w:rFonts w:ascii="Arial" w:hAnsi="Arial" w:cs="Arial"/>
          <w:sz w:val="22"/>
          <w:szCs w:val="22"/>
        </w:rPr>
        <w:t>actualizado para todo el periodo del PMI (100%).</w:t>
      </w:r>
    </w:p>
    <w:p w:rsidR="00F87902" w:rsidRDefault="00F87902">
      <w:pPr>
        <w:ind w:left="1068"/>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30 becarios </w:t>
      </w:r>
      <w:r>
        <w:rPr>
          <w:rFonts w:ascii="Arial" w:hAnsi="Arial" w:cs="Arial"/>
          <w:sz w:val="22"/>
          <w:szCs w:val="22"/>
        </w:rPr>
        <w:t>a los cuales se da seguimiento financiero y se gestionan los pagos correspondientes (más del 100% estimado).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6 gestiones</w:t>
      </w:r>
      <w:r>
        <w:rPr>
          <w:rFonts w:ascii="Arial" w:hAnsi="Arial" w:cs="Arial"/>
          <w:sz w:val="22"/>
          <w:szCs w:val="22"/>
        </w:rPr>
        <w:t xml:space="preserve"> para la designación de los 5 becarios pendientes del primer semestre, y 3 adicionales: conversaciones, oficios elaborados que respaldan lo acordado en reuniones que establecen lineamientos para la designación de becarios (más del 100% estimado).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6 informes: </w:t>
      </w:r>
      <w:r>
        <w:rPr>
          <w:rFonts w:ascii="Arial" w:hAnsi="Arial" w:cs="Arial"/>
          <w:sz w:val="22"/>
          <w:szCs w:val="22"/>
        </w:rPr>
        <w:t xml:space="preserve">2 de seguimiento al Plan de Acción 2014, 2 informes financieros para el Ministerio de Hacienda y 1 informe de </w:t>
      </w:r>
      <w:r>
        <w:rPr>
          <w:rFonts w:ascii="Arial" w:hAnsi="Arial" w:cs="Arial"/>
          <w:i/>
          <w:sz w:val="22"/>
          <w:szCs w:val="22"/>
        </w:rPr>
        <w:t>Mideplan</w:t>
      </w:r>
      <w:r>
        <w:rPr>
          <w:rFonts w:ascii="Arial" w:hAnsi="Arial" w:cs="Arial"/>
          <w:sz w:val="22"/>
          <w:szCs w:val="22"/>
        </w:rPr>
        <w:t>, 1 informe ejecutivo para el Consejo Universitario; todo en el contexto de la ejecución de las iniciativas del PMI (100%).</w:t>
      </w:r>
    </w:p>
    <w:p w:rsidR="00F87902" w:rsidRDefault="00F87902">
      <w:pPr>
        <w:pStyle w:val="Prrafodelista"/>
        <w:rPr>
          <w:rFonts w:ascii="Arial" w:hAnsi="Arial" w:cs="Arial"/>
          <w:sz w:val="22"/>
          <w:szCs w:val="22"/>
        </w:rPr>
      </w:pPr>
    </w:p>
    <w:p w:rsidR="00F87902" w:rsidRDefault="00F87902">
      <w:pPr>
        <w:ind w:left="1068" w:hanging="360"/>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lastRenderedPageBreak/>
        <w:t>100% de logro</w:t>
      </w:r>
      <w:r>
        <w:rPr>
          <w:rFonts w:ascii="Arial" w:hAnsi="Arial" w:cs="Arial"/>
          <w:sz w:val="22"/>
          <w:szCs w:val="22"/>
        </w:rPr>
        <w:t xml:space="preserve"> en el seguimiento a la ejecución de los 11 planes de movilidad académica formulados por los responsables de las iniciativas en 2014, en cuyo contexto se tramitaron 29 capacitaciones y se trajeron 28 expertos.</w:t>
      </w:r>
    </w:p>
    <w:p w:rsidR="00F87902" w:rsidRDefault="00F87902">
      <w:pPr>
        <w:ind w:left="1068"/>
        <w:jc w:val="both"/>
        <w:rPr>
          <w:rFonts w:ascii="Arial" w:hAnsi="Arial" w:cs="Arial"/>
          <w:sz w:val="22"/>
          <w:szCs w:val="22"/>
        </w:rPr>
      </w:pPr>
    </w:p>
    <w:p w:rsidR="00F87902" w:rsidRDefault="00F87902">
      <w:pPr>
        <w:jc w:val="both"/>
        <w:rPr>
          <w:rFonts w:ascii="Arial" w:hAnsi="Arial" w:cs="Arial"/>
          <w:sz w:val="22"/>
          <w:szCs w:val="22"/>
        </w:rPr>
      </w:pPr>
    </w:p>
    <w:p w:rsidR="00F87902" w:rsidRDefault="00A519F9">
      <w:pPr>
        <w:ind w:left="1068"/>
        <w:jc w:val="both"/>
        <w:rPr>
          <w:rFonts w:ascii="Arial" w:hAnsi="Arial" w:cs="Arial"/>
          <w:i/>
          <w:sz w:val="22"/>
          <w:szCs w:val="22"/>
        </w:rPr>
      </w:pPr>
      <w:r>
        <w:rPr>
          <w:rFonts w:ascii="Arial" w:hAnsi="Arial" w:cs="Arial"/>
          <w:i/>
          <w:sz w:val="22"/>
          <w:szCs w:val="22"/>
        </w:rPr>
        <w:t>La baja ejecución en la meta (26,2%) se explica por el cronograma de desembolsos y ejecución de los recursos provenientes del Banco Mundial para el Plan de Mejoramiento Institucional, el cual se va cumpliendo según lo propuesto y se da el seguimiento correspondiente en los informes de avance del proyecto.</w:t>
      </w:r>
    </w:p>
    <w:p w:rsidR="00F87902" w:rsidRDefault="00F87902">
      <w:pPr>
        <w:jc w:val="both"/>
        <w:rPr>
          <w:rFonts w:ascii="Arial" w:hAnsi="Arial" w:cs="Arial"/>
          <w:b/>
          <w:sz w:val="22"/>
          <w:szCs w:val="22"/>
        </w:rPr>
      </w:pP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2.2  Adjudicar 2 obras de infraestructura de acuerdo con lo establecido en el Plan de fortalecimiento institucional.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pPr>
      <w:r>
        <w:rPr>
          <w:rFonts w:ascii="Arial" w:hAnsi="Arial" w:cs="Arial"/>
          <w:sz w:val="22"/>
          <w:szCs w:val="22"/>
        </w:rPr>
        <w:t xml:space="preserve">Se estima un cumplimiento del </w:t>
      </w:r>
      <w:r>
        <w:rPr>
          <w:rFonts w:ascii="Arial" w:hAnsi="Arial" w:cs="Arial"/>
          <w:b/>
          <w:sz w:val="22"/>
          <w:szCs w:val="22"/>
        </w:rPr>
        <w:t>100%</w:t>
      </w:r>
      <w:r>
        <w:rPr>
          <w:rFonts w:ascii="Arial" w:hAnsi="Arial" w:cs="Arial"/>
          <w:sz w:val="22"/>
          <w:szCs w:val="22"/>
        </w:rPr>
        <w:t>, no obstante la meta prácticamente no presenta ejecución presupuestaria alguna. A continuación se ilustran los resultados para considerarlo de esa manera:</w:t>
      </w:r>
    </w:p>
    <w:p w:rsidR="00F87902" w:rsidRDefault="00F87902">
      <w:pPr>
        <w:ind w:left="708"/>
        <w:jc w:val="both"/>
        <w:rPr>
          <w:rFonts w:ascii="Arial" w:hAnsi="Arial" w:cs="Arial"/>
          <w:sz w:val="22"/>
          <w:szCs w:val="22"/>
        </w:rPr>
      </w:pPr>
    </w:p>
    <w:p w:rsidR="00F87902" w:rsidRDefault="00A519F9">
      <w:pPr>
        <w:pStyle w:val="Prrafodelista"/>
        <w:numPr>
          <w:ilvl w:val="0"/>
          <w:numId w:val="32"/>
        </w:numPr>
        <w:rPr>
          <w:rFonts w:ascii="Arial" w:hAnsi="Arial" w:cs="Arial"/>
          <w:sz w:val="22"/>
          <w:szCs w:val="22"/>
        </w:rPr>
      </w:pPr>
      <w:r>
        <w:rPr>
          <w:rFonts w:ascii="Arial" w:hAnsi="Arial" w:cs="Arial"/>
          <w:sz w:val="22"/>
          <w:szCs w:val="22"/>
        </w:rPr>
        <w:t xml:space="preserve">Se adjudicaron dos obras: edificio de Áreas/Estudios Generales y el edificio de Emprendedurismo, Educación Permanente y Logística. </w:t>
      </w:r>
    </w:p>
    <w:p w:rsidR="00F87902" w:rsidRDefault="00F87902">
      <w:pPr>
        <w:pStyle w:val="Prrafodelista"/>
        <w:ind w:left="1428"/>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Adicionalmente, se inició el proceso de licitación del edificio de Ciencias del Movimiento Humano y Terapias complementarias, respecto de lo cual se trabaja en la evaluación de las ofertas. Por otra parte, los edificios de Nuevos procesos industriales, Física Médica y el complejo artístico deportivo requieren de procesos de licitación pública internacional, y los tres cuentan ya con la conformidad técnica por parte del Banco Mundial.</w:t>
      </w:r>
    </w:p>
    <w:p w:rsidR="00F87902" w:rsidRDefault="00F87902">
      <w:pPr>
        <w:ind w:left="708"/>
        <w:jc w:val="both"/>
        <w:rPr>
          <w:rFonts w:ascii="Arial" w:hAnsi="Arial" w:cs="Arial"/>
          <w:sz w:val="22"/>
          <w:szCs w:val="22"/>
        </w:rPr>
      </w:pPr>
    </w:p>
    <w:p w:rsidR="00F87902" w:rsidRDefault="00A519F9">
      <w:pPr>
        <w:ind w:left="1068"/>
        <w:jc w:val="both"/>
        <w:rPr>
          <w:rFonts w:ascii="Arial" w:hAnsi="Arial" w:cs="Arial"/>
          <w:i/>
          <w:sz w:val="22"/>
          <w:szCs w:val="22"/>
        </w:rPr>
      </w:pPr>
      <w:r>
        <w:rPr>
          <w:rFonts w:ascii="Arial" w:hAnsi="Arial" w:cs="Arial"/>
          <w:i/>
          <w:sz w:val="22"/>
          <w:szCs w:val="22"/>
        </w:rPr>
        <w:t>La baja ejecución presupuestaria en la meta (1,5%) se explica por los procesos de licitación y construcción que tienen los proyectos de infraestructura incluidos en el Plan de Mejoramiento Institucional (Banco Mundial). De acuerdo con el cronograma de ejecución durante los años 2016 y 2017 se concentra la construcción de dichos proyectos.</w:t>
      </w:r>
    </w:p>
    <w:p w:rsidR="00F87902" w:rsidRDefault="00A519F9">
      <w:pPr>
        <w:jc w:val="center"/>
        <w:rPr>
          <w:rFonts w:ascii="Arial" w:hAnsi="Arial" w:cs="Arial"/>
          <w:b/>
        </w:rPr>
      </w:pPr>
      <w:r>
        <w:rPr>
          <w:rFonts w:ascii="Arial" w:hAnsi="Arial" w:cs="Arial"/>
          <w:b/>
        </w:rPr>
        <w:t>CUADRO N°5</w:t>
      </w:r>
    </w:p>
    <w:p w:rsidR="00F87902" w:rsidRDefault="00F87902">
      <w:pPr>
        <w:jc w:val="center"/>
        <w:rPr>
          <w:rFonts w:ascii="Arial" w:hAnsi="Arial" w:cs="Arial"/>
          <w:b/>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u w:val="single"/>
        </w:rPr>
      </w:pPr>
    </w:p>
    <w:tbl>
      <w:tblPr>
        <w:tblW w:w="8720" w:type="dxa"/>
        <w:jc w:val="center"/>
        <w:tblBorders>
          <w:top w:val="single" w:sz="18" w:space="0" w:color="00000A"/>
        </w:tblBorders>
        <w:tblLook w:val="04A0"/>
      </w:tblPr>
      <w:tblGrid>
        <w:gridCol w:w="1421"/>
        <w:gridCol w:w="1307"/>
        <w:gridCol w:w="2482"/>
        <w:gridCol w:w="238"/>
        <w:gridCol w:w="1814"/>
        <w:gridCol w:w="1458"/>
      </w:tblGrid>
      <w:tr w:rsidR="00F87902">
        <w:trPr>
          <w:jc w:val="center"/>
        </w:trPr>
        <w:tc>
          <w:tcPr>
            <w:tcW w:w="1422"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789" w:type="dxa"/>
            <w:gridSpan w:val="2"/>
            <w:tcBorders>
              <w:top w:val="single" w:sz="18" w:space="0" w:color="00000A"/>
              <w:bottom w:val="single" w:sz="4"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6" w:type="dxa"/>
            <w:tcBorders>
              <w:top w:val="single" w:sz="18" w:space="0" w:color="00000A"/>
            </w:tcBorders>
            <w:shd w:val="clear" w:color="auto" w:fill="auto"/>
          </w:tcPr>
          <w:p w:rsidR="00F87902" w:rsidRDefault="00F87902">
            <w:pPr>
              <w:jc w:val="center"/>
              <w:rPr>
                <w:rFonts w:ascii="Arial" w:hAnsi="Arial" w:cs="Arial"/>
                <w:b/>
              </w:rPr>
            </w:pPr>
          </w:p>
        </w:tc>
        <w:tc>
          <w:tcPr>
            <w:tcW w:w="3272" w:type="dxa"/>
            <w:gridSpan w:val="2"/>
            <w:tcBorders>
              <w:top w:val="single" w:sz="18" w:space="0" w:color="00000A"/>
              <w:bottom w:val="single" w:sz="4"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22" w:type="dxa"/>
            <w:vMerge/>
            <w:tcBorders>
              <w:top w:val="single" w:sz="4" w:space="0" w:color="00000A"/>
              <w:bottom w:val="single" w:sz="4" w:space="0" w:color="00000A"/>
            </w:tcBorders>
            <w:shd w:val="clear" w:color="auto" w:fill="auto"/>
          </w:tcPr>
          <w:p w:rsidR="00F87902" w:rsidRDefault="00F87902">
            <w:pPr>
              <w:jc w:val="center"/>
              <w:rPr>
                <w:rFonts w:ascii="Arial" w:hAnsi="Arial" w:cs="Arial"/>
                <w:b/>
              </w:rPr>
            </w:pPr>
          </w:p>
        </w:tc>
        <w:tc>
          <w:tcPr>
            <w:tcW w:w="1307" w:type="dxa"/>
            <w:tcBorders>
              <w:top w:val="single" w:sz="4" w:space="0" w:color="00000A"/>
              <w:bottom w:val="single" w:sz="4"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82" w:type="dxa"/>
            <w:tcBorders>
              <w:top w:val="single" w:sz="4" w:space="0" w:color="00000A"/>
              <w:bottom w:val="single" w:sz="4"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8" w:type="dxa"/>
            <w:tcBorders>
              <w:top w:val="single" w:sz="4" w:space="0" w:color="00000A"/>
              <w:bottom w:val="single" w:sz="4" w:space="0" w:color="00000A"/>
            </w:tcBorders>
            <w:shd w:val="clear" w:color="auto" w:fill="auto"/>
          </w:tcPr>
          <w:p w:rsidR="00F87902" w:rsidRDefault="00F87902">
            <w:pPr>
              <w:jc w:val="center"/>
              <w:rPr>
                <w:rFonts w:ascii="Arial" w:hAnsi="Arial" w:cs="Arial"/>
                <w:b/>
              </w:rPr>
            </w:pPr>
          </w:p>
        </w:tc>
        <w:tc>
          <w:tcPr>
            <w:tcW w:w="1814" w:type="dxa"/>
            <w:tcBorders>
              <w:top w:val="single" w:sz="4" w:space="0" w:color="00000A"/>
              <w:bottom w:val="single" w:sz="4"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56" w:type="dxa"/>
            <w:tcBorders>
              <w:top w:val="single" w:sz="4" w:space="0" w:color="00000A"/>
              <w:bottom w:val="single" w:sz="4"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22" w:type="dxa"/>
            <w:tcBorders>
              <w:top w:val="single" w:sz="4"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2.1</w:t>
            </w:r>
          </w:p>
        </w:tc>
        <w:tc>
          <w:tcPr>
            <w:tcW w:w="1307" w:type="dxa"/>
            <w:tcBorders>
              <w:top w:val="single" w:sz="4" w:space="0" w:color="00000A"/>
            </w:tcBorders>
            <w:shd w:val="clear" w:color="auto" w:fill="auto"/>
            <w:vAlign w:val="bottom"/>
          </w:tcPr>
          <w:p w:rsidR="00F87902" w:rsidRDefault="00A519F9">
            <w:pPr>
              <w:jc w:val="center"/>
              <w:rPr>
                <w:rFonts w:ascii="Arial" w:hAnsi="Arial" w:cs="Arial"/>
                <w:sz w:val="20"/>
                <w:szCs w:val="20"/>
              </w:rPr>
            </w:pPr>
            <w:r>
              <w:rPr>
                <w:rFonts w:ascii="Arial" w:hAnsi="Arial" w:cs="Arial"/>
                <w:sz w:val="20"/>
                <w:szCs w:val="20"/>
              </w:rPr>
              <w:t>2.063,4</w:t>
            </w:r>
          </w:p>
        </w:tc>
        <w:tc>
          <w:tcPr>
            <w:tcW w:w="2482" w:type="dxa"/>
            <w:tcBorders>
              <w:top w:val="single" w:sz="4" w:space="0" w:color="00000A"/>
            </w:tcBorders>
            <w:shd w:val="clear" w:color="auto" w:fill="auto"/>
            <w:vAlign w:val="bottom"/>
          </w:tcPr>
          <w:p w:rsidR="00F87902" w:rsidRDefault="00A519F9">
            <w:pPr>
              <w:rPr>
                <w:rFonts w:ascii="Arial" w:hAnsi="Arial" w:cs="Arial"/>
                <w:sz w:val="20"/>
                <w:szCs w:val="20"/>
              </w:rPr>
            </w:pPr>
            <w:r>
              <w:rPr>
                <w:rFonts w:ascii="Arial" w:hAnsi="Arial" w:cs="Arial"/>
                <w:sz w:val="20"/>
                <w:szCs w:val="20"/>
              </w:rPr>
              <w:t xml:space="preserve">            3.396,2</w:t>
            </w:r>
          </w:p>
        </w:tc>
        <w:tc>
          <w:tcPr>
            <w:tcW w:w="238" w:type="dxa"/>
            <w:tcBorders>
              <w:top w:val="single" w:sz="4" w:space="0" w:color="00000A"/>
            </w:tcBorders>
            <w:shd w:val="clear" w:color="auto" w:fill="auto"/>
          </w:tcPr>
          <w:p w:rsidR="00F87902" w:rsidRDefault="00F87902">
            <w:pPr>
              <w:jc w:val="center"/>
              <w:rPr>
                <w:rFonts w:ascii="Arial" w:hAnsi="Arial" w:cs="Arial"/>
                <w:sz w:val="20"/>
                <w:szCs w:val="20"/>
              </w:rPr>
            </w:pPr>
          </w:p>
        </w:tc>
        <w:tc>
          <w:tcPr>
            <w:tcW w:w="1814" w:type="dxa"/>
            <w:tcBorders>
              <w:top w:val="single" w:sz="4" w:space="0" w:color="00000A"/>
            </w:tcBorders>
            <w:shd w:val="clear" w:color="auto" w:fill="auto"/>
            <w:vAlign w:val="bottom"/>
          </w:tcPr>
          <w:p w:rsidR="00F87902" w:rsidRDefault="00A519F9">
            <w:pPr>
              <w:jc w:val="center"/>
              <w:rPr>
                <w:rFonts w:ascii="Arial" w:hAnsi="Arial" w:cs="Arial"/>
                <w:sz w:val="20"/>
                <w:szCs w:val="20"/>
              </w:rPr>
            </w:pPr>
            <w:r>
              <w:rPr>
                <w:rFonts w:ascii="Arial" w:hAnsi="Arial" w:cs="Arial"/>
                <w:sz w:val="20"/>
                <w:szCs w:val="20"/>
              </w:rPr>
              <w:t xml:space="preserve">    888,8</w:t>
            </w:r>
          </w:p>
        </w:tc>
        <w:tc>
          <w:tcPr>
            <w:tcW w:w="1456" w:type="dxa"/>
            <w:tcBorders>
              <w:top w:val="single" w:sz="4" w:space="0" w:color="00000A"/>
            </w:tcBorders>
            <w:shd w:val="clear" w:color="auto" w:fill="auto"/>
            <w:vAlign w:val="bottom"/>
          </w:tcPr>
          <w:p w:rsidR="00F87902" w:rsidRDefault="00A519F9">
            <w:pPr>
              <w:rPr>
                <w:rFonts w:ascii="Arial" w:hAnsi="Arial" w:cs="Arial"/>
                <w:sz w:val="20"/>
                <w:szCs w:val="20"/>
              </w:rPr>
            </w:pPr>
            <w:r>
              <w:rPr>
                <w:rFonts w:ascii="Arial" w:hAnsi="Arial" w:cs="Arial"/>
                <w:sz w:val="20"/>
                <w:szCs w:val="20"/>
              </w:rPr>
              <w:t xml:space="preserve">  26,2%</w:t>
            </w:r>
          </w:p>
        </w:tc>
      </w:tr>
      <w:tr w:rsidR="00F87902">
        <w:trPr>
          <w:trHeight w:val="281"/>
          <w:jc w:val="center"/>
        </w:trPr>
        <w:tc>
          <w:tcPr>
            <w:tcW w:w="1422" w:type="dxa"/>
            <w:shd w:val="clear" w:color="auto" w:fill="auto"/>
          </w:tcPr>
          <w:p w:rsidR="00F87902" w:rsidRDefault="00A519F9">
            <w:pPr>
              <w:jc w:val="center"/>
              <w:rPr>
                <w:rFonts w:ascii="Arial" w:hAnsi="Arial" w:cs="Arial"/>
                <w:b/>
                <w:sz w:val="20"/>
                <w:szCs w:val="20"/>
              </w:rPr>
            </w:pPr>
            <w:r>
              <w:rPr>
                <w:rFonts w:ascii="Arial" w:hAnsi="Arial" w:cs="Arial"/>
                <w:b/>
                <w:sz w:val="20"/>
                <w:szCs w:val="20"/>
              </w:rPr>
              <w:t>2.2</w:t>
            </w:r>
          </w:p>
        </w:tc>
        <w:tc>
          <w:tcPr>
            <w:tcW w:w="1307" w:type="dxa"/>
            <w:shd w:val="clear" w:color="auto" w:fill="auto"/>
          </w:tcPr>
          <w:p w:rsidR="00F87902" w:rsidRDefault="00A519F9">
            <w:pPr>
              <w:jc w:val="center"/>
              <w:rPr>
                <w:rFonts w:ascii="Arial" w:hAnsi="Arial" w:cs="Arial"/>
                <w:sz w:val="20"/>
                <w:szCs w:val="20"/>
              </w:rPr>
            </w:pPr>
            <w:r>
              <w:rPr>
                <w:rFonts w:ascii="Arial" w:hAnsi="Arial" w:cs="Arial"/>
                <w:sz w:val="20"/>
                <w:szCs w:val="20"/>
              </w:rPr>
              <w:t>2.329,2</w:t>
            </w:r>
          </w:p>
        </w:tc>
        <w:tc>
          <w:tcPr>
            <w:tcW w:w="2482" w:type="dxa"/>
            <w:shd w:val="clear" w:color="auto" w:fill="auto"/>
          </w:tcPr>
          <w:p w:rsidR="00F87902" w:rsidRDefault="00A519F9">
            <w:pPr>
              <w:rPr>
                <w:rFonts w:ascii="Arial" w:hAnsi="Arial" w:cs="Arial"/>
                <w:sz w:val="20"/>
                <w:szCs w:val="20"/>
              </w:rPr>
            </w:pPr>
            <w:r>
              <w:rPr>
                <w:rFonts w:ascii="Arial" w:hAnsi="Arial" w:cs="Arial"/>
                <w:sz w:val="20"/>
                <w:szCs w:val="20"/>
              </w:rPr>
              <w:t xml:space="preserve">            7.223,2</w:t>
            </w:r>
          </w:p>
        </w:tc>
        <w:tc>
          <w:tcPr>
            <w:tcW w:w="238" w:type="dxa"/>
            <w:shd w:val="clear" w:color="auto" w:fill="auto"/>
          </w:tcPr>
          <w:p w:rsidR="00F87902" w:rsidRDefault="00F87902">
            <w:pPr>
              <w:jc w:val="center"/>
              <w:rPr>
                <w:rFonts w:ascii="Arial" w:hAnsi="Arial" w:cs="Arial"/>
                <w:sz w:val="20"/>
                <w:szCs w:val="20"/>
              </w:rPr>
            </w:pPr>
          </w:p>
        </w:tc>
        <w:tc>
          <w:tcPr>
            <w:tcW w:w="1814" w:type="dxa"/>
            <w:shd w:val="clear" w:color="auto" w:fill="auto"/>
          </w:tcPr>
          <w:p w:rsidR="00F87902" w:rsidRDefault="00A519F9">
            <w:pPr>
              <w:jc w:val="center"/>
              <w:rPr>
                <w:rFonts w:ascii="Arial" w:hAnsi="Arial" w:cs="Arial"/>
                <w:sz w:val="20"/>
                <w:szCs w:val="20"/>
              </w:rPr>
            </w:pPr>
            <w:r>
              <w:rPr>
                <w:rFonts w:ascii="Arial" w:hAnsi="Arial" w:cs="Arial"/>
                <w:sz w:val="20"/>
                <w:szCs w:val="20"/>
              </w:rPr>
              <w:t xml:space="preserve">    107,3            </w:t>
            </w:r>
          </w:p>
        </w:tc>
        <w:tc>
          <w:tcPr>
            <w:tcW w:w="1456" w:type="dxa"/>
            <w:shd w:val="clear" w:color="auto" w:fill="auto"/>
          </w:tcPr>
          <w:p w:rsidR="00F87902" w:rsidRDefault="00A519F9">
            <w:pPr>
              <w:rPr>
                <w:rFonts w:ascii="Arial" w:hAnsi="Arial" w:cs="Arial"/>
                <w:sz w:val="20"/>
                <w:szCs w:val="20"/>
              </w:rPr>
            </w:pPr>
            <w:r>
              <w:rPr>
                <w:rFonts w:ascii="Arial" w:hAnsi="Arial" w:cs="Arial"/>
                <w:sz w:val="20"/>
                <w:szCs w:val="20"/>
              </w:rPr>
              <w:t xml:space="preserve">    1,5%</w:t>
            </w:r>
          </w:p>
        </w:tc>
      </w:tr>
      <w:tr w:rsidR="00F87902">
        <w:trPr>
          <w:jc w:val="center"/>
        </w:trPr>
        <w:tc>
          <w:tcPr>
            <w:tcW w:w="1422"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2</w:t>
            </w:r>
          </w:p>
        </w:tc>
        <w:tc>
          <w:tcPr>
            <w:tcW w:w="1307"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4.392,6</w:t>
            </w:r>
          </w:p>
        </w:tc>
        <w:tc>
          <w:tcPr>
            <w:tcW w:w="2482"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10.619,4</w:t>
            </w:r>
          </w:p>
        </w:tc>
        <w:tc>
          <w:tcPr>
            <w:tcW w:w="238" w:type="dxa"/>
            <w:tcBorders>
              <w:top w:val="single" w:sz="18" w:space="0" w:color="00000A"/>
              <w:bottom w:val="single" w:sz="18" w:space="0" w:color="00000A"/>
            </w:tcBorders>
            <w:shd w:val="clear" w:color="auto" w:fill="auto"/>
          </w:tcPr>
          <w:p w:rsidR="00F87902" w:rsidRDefault="00F87902">
            <w:pPr>
              <w:jc w:val="right"/>
              <w:rPr>
                <w:rFonts w:ascii="Arial" w:hAnsi="Arial" w:cs="Arial"/>
                <w:b/>
                <w:sz w:val="20"/>
                <w:szCs w:val="20"/>
              </w:rPr>
            </w:pPr>
          </w:p>
        </w:tc>
        <w:tc>
          <w:tcPr>
            <w:tcW w:w="1814"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996,1</w:t>
            </w:r>
          </w:p>
        </w:tc>
        <w:tc>
          <w:tcPr>
            <w:tcW w:w="1456" w:type="dxa"/>
            <w:tcBorders>
              <w:top w:val="single" w:sz="18" w:space="0" w:color="00000A"/>
              <w:bottom w:val="single" w:sz="18" w:space="0" w:color="00000A"/>
            </w:tcBorders>
            <w:shd w:val="clear" w:color="auto" w:fill="auto"/>
          </w:tcPr>
          <w:p w:rsidR="00F87902" w:rsidRDefault="00A519F9">
            <w:pPr>
              <w:ind w:left="283" w:right="397"/>
              <w:jc w:val="center"/>
              <w:rPr>
                <w:rFonts w:ascii="Arial" w:hAnsi="Arial" w:cs="Arial"/>
                <w:b/>
                <w:sz w:val="20"/>
                <w:szCs w:val="20"/>
              </w:rPr>
            </w:pPr>
            <w:r>
              <w:rPr>
                <w:rFonts w:ascii="Arial" w:hAnsi="Arial" w:cs="Arial"/>
                <w:b/>
                <w:sz w:val="20"/>
                <w:szCs w:val="20"/>
              </w:rPr>
              <w:t>9,4%</w:t>
            </w:r>
          </w:p>
        </w:tc>
      </w:tr>
    </w:tbl>
    <w:p w:rsidR="00F87902" w:rsidRDefault="00F87902">
      <w:pPr>
        <w:jc w:val="both"/>
        <w:rPr>
          <w:rFonts w:ascii="Arial" w:hAnsi="Arial" w:cs="Arial"/>
          <w:sz w:val="18"/>
        </w:rPr>
      </w:pPr>
    </w:p>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i/>
          <w:sz w:val="18"/>
          <w:szCs w:val="18"/>
        </w:rPr>
      </w:pPr>
    </w:p>
    <w:p w:rsidR="00F87902" w:rsidRDefault="00A519F9">
      <w:pPr>
        <w:spacing w:line="360" w:lineRule="auto"/>
        <w:jc w:val="both"/>
        <w:rPr>
          <w:rFonts w:ascii="Arial" w:hAnsi="Arial" w:cs="Arial"/>
          <w:b/>
        </w:rPr>
      </w:pPr>
      <w:r>
        <w:rPr>
          <w:rFonts w:ascii="Arial" w:hAnsi="Arial" w:cs="Arial"/>
          <w:b/>
        </w:rPr>
        <w:t>OBJETIVO 3. Generar y transferir conocimiento mediante el desarrollo de programas, proyectos y actividades académicas de investigación, extensión e integradas de impacto nacional, congruentes con las áreas de conocimiento definidas en el ámbito institucional, para contribuir a la transformación de la sociedad.</w:t>
      </w: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3.1  Ejecutar 191 PPAA de investigación según prioridades definidas.</w:t>
      </w:r>
    </w:p>
    <w:p w:rsidR="00F87902" w:rsidRDefault="00A519F9">
      <w:pPr>
        <w:ind w:left="708"/>
        <w:jc w:val="both"/>
        <w:rPr>
          <w:rFonts w:ascii="Arial" w:hAnsi="Arial" w:cs="Arial"/>
          <w:sz w:val="22"/>
          <w:szCs w:val="22"/>
        </w:rPr>
      </w:pPr>
      <w:r>
        <w:rPr>
          <w:rFonts w:ascii="Arial" w:hAnsi="Arial" w:cs="Arial"/>
          <w:sz w:val="22"/>
          <w:szCs w:val="22"/>
        </w:rPr>
        <w:t xml:space="preserve">La meta muestra un cumplimiento del </w:t>
      </w:r>
      <w:r>
        <w:rPr>
          <w:rFonts w:ascii="Arial" w:hAnsi="Arial" w:cs="Arial"/>
          <w:b/>
          <w:sz w:val="22"/>
          <w:szCs w:val="22"/>
        </w:rPr>
        <w:t>100%</w:t>
      </w:r>
      <w:r>
        <w:rPr>
          <w:rFonts w:ascii="Arial" w:hAnsi="Arial" w:cs="Arial"/>
          <w:sz w:val="22"/>
          <w:szCs w:val="22"/>
        </w:rPr>
        <w:t xml:space="preserve">, atribuible a los logros obtenidos durante la fase de análisis y a su naturaleza:                        </w:t>
      </w:r>
    </w:p>
    <w:p w:rsidR="00F87902" w:rsidRDefault="00F87902">
      <w:pPr>
        <w:ind w:left="1068"/>
        <w:jc w:val="both"/>
        <w:rPr>
          <w:rFonts w:ascii="Arial" w:hAnsi="Arial" w:cs="Arial"/>
          <w:b/>
          <w:i/>
          <w:color w:val="E36C0A" w:themeColor="accent6" w:themeShade="BF"/>
          <w:sz w:val="22"/>
          <w:szCs w:val="22"/>
        </w:rPr>
      </w:pPr>
    </w:p>
    <w:p w:rsidR="00F87902" w:rsidRDefault="00A519F9">
      <w:pPr>
        <w:numPr>
          <w:ilvl w:val="0"/>
          <w:numId w:val="10"/>
        </w:numPr>
        <w:jc w:val="both"/>
        <w:rPr>
          <w:rFonts w:ascii="Arial" w:hAnsi="Arial" w:cs="Arial"/>
          <w:sz w:val="22"/>
          <w:szCs w:val="22"/>
        </w:rPr>
      </w:pPr>
      <w:r>
        <w:rPr>
          <w:rFonts w:ascii="Arial" w:hAnsi="Arial" w:cs="Arial"/>
          <w:b/>
          <w:sz w:val="22"/>
          <w:szCs w:val="22"/>
        </w:rPr>
        <w:t>219</w:t>
      </w:r>
      <w:r>
        <w:rPr>
          <w:rFonts w:ascii="Arial" w:hAnsi="Arial" w:cs="Arial"/>
          <w:sz w:val="22"/>
          <w:szCs w:val="22"/>
        </w:rPr>
        <w:t xml:space="preserve"> programas, proyectos y actividades desarrollados: 14 actividades, 11 laboratorios, 17 programas y 177 proyectos.</w:t>
      </w:r>
    </w:p>
    <w:p w:rsidR="00F87902" w:rsidRDefault="00F87902">
      <w:pPr>
        <w:ind w:left="106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Lo anteriormente descrito se ejemplifica de la siguiente manera:</w:t>
      </w:r>
    </w:p>
    <w:p w:rsidR="00F87902" w:rsidRDefault="00F87902">
      <w:pPr>
        <w:ind w:left="708"/>
        <w:jc w:val="both"/>
        <w:rPr>
          <w:rFonts w:ascii="Arial" w:hAnsi="Arial" w:cs="Arial"/>
          <w:sz w:val="22"/>
          <w:szCs w:val="22"/>
        </w:rPr>
      </w:pPr>
    </w:p>
    <w:p w:rsidR="00F87902" w:rsidRDefault="00A519F9">
      <w:pPr>
        <w:numPr>
          <w:ilvl w:val="0"/>
          <w:numId w:val="21"/>
        </w:numPr>
        <w:jc w:val="both"/>
        <w:rPr>
          <w:rFonts w:ascii="Arial" w:hAnsi="Arial" w:cs="Arial"/>
          <w:sz w:val="22"/>
          <w:szCs w:val="22"/>
        </w:rPr>
      </w:pPr>
      <w:r>
        <w:rPr>
          <w:rFonts w:ascii="Arial" w:hAnsi="Arial" w:cs="Arial"/>
          <w:sz w:val="22"/>
          <w:szCs w:val="22"/>
        </w:rPr>
        <w:t xml:space="preserve">5 conteos en los ríos del Gran Humedal del Tempisque, para establecer estructura poblacional por talla y sexo, e identificar posibles contaminantes que afecten la población de cocodrilos (50%); 20 videos de capturas de jaguares y pumas en el Área de Conservación de Guanacaste (100%); en el ámbito del </w:t>
      </w:r>
      <w:r>
        <w:rPr>
          <w:rFonts w:ascii="Arial" w:hAnsi="Arial" w:cs="Arial"/>
          <w:i/>
          <w:sz w:val="22"/>
          <w:szCs w:val="22"/>
        </w:rPr>
        <w:t>Icomvis</w:t>
      </w:r>
      <w:r>
        <w:rPr>
          <w:rFonts w:ascii="Arial" w:hAnsi="Arial" w:cs="Arial"/>
          <w:sz w:val="22"/>
          <w:szCs w:val="22"/>
        </w:rPr>
        <w:t>.</w:t>
      </w:r>
    </w:p>
    <w:p w:rsidR="00F87902" w:rsidRDefault="00A519F9">
      <w:pPr>
        <w:numPr>
          <w:ilvl w:val="0"/>
          <w:numId w:val="21"/>
        </w:numPr>
        <w:jc w:val="both"/>
        <w:rPr>
          <w:rFonts w:ascii="Arial" w:hAnsi="Arial" w:cs="Arial"/>
          <w:sz w:val="22"/>
          <w:szCs w:val="22"/>
        </w:rPr>
      </w:pPr>
      <w:r>
        <w:rPr>
          <w:rFonts w:ascii="Arial" w:hAnsi="Arial" w:cs="Arial"/>
          <w:sz w:val="22"/>
          <w:szCs w:val="22"/>
        </w:rPr>
        <w:t xml:space="preserve">10 personas movilizadas al exterior para realizar estudios en las áreas de sismología, vulcanología y tectónica, entre ellos 5 académicos que con su participación en proyectos de investigación participaron en la XXVI Asamblea General de la IUGG en República Checa, donde realizaron ponencias y/o presentaciones; además, un estudiante asistente fue a Cuba a presentar los resultados del trabajo de colaboración realizado en un proyecto (100%); 100% de logro en lo que se refiere a brindar información a medios de comunicación e instituciones interesadas sobre actividad volcánica: boletines mensuales y de prensa sobre actividad sísmica y volcánica disponibles en el sitio </w:t>
      </w:r>
      <w:r>
        <w:rPr>
          <w:rFonts w:ascii="Arial" w:hAnsi="Arial" w:cs="Arial"/>
          <w:i/>
          <w:sz w:val="22"/>
          <w:szCs w:val="22"/>
        </w:rPr>
        <w:t>web</w:t>
      </w:r>
      <w:r>
        <w:rPr>
          <w:rFonts w:ascii="Arial" w:hAnsi="Arial" w:cs="Arial"/>
          <w:sz w:val="22"/>
          <w:szCs w:val="22"/>
        </w:rPr>
        <w:t xml:space="preserve"> y en </w:t>
      </w:r>
      <w:r>
        <w:rPr>
          <w:rFonts w:ascii="Arial" w:hAnsi="Arial" w:cs="Arial"/>
          <w:i/>
          <w:sz w:val="22"/>
          <w:szCs w:val="22"/>
        </w:rPr>
        <w:t>Facebook</w:t>
      </w:r>
      <w:r>
        <w:rPr>
          <w:rFonts w:ascii="Arial" w:hAnsi="Arial" w:cs="Arial"/>
          <w:sz w:val="22"/>
          <w:szCs w:val="22"/>
        </w:rPr>
        <w:t>; 9 estudiantes asistente participando en el quehacer de los proyectos; 100% de logro en la ejecución de los proyectos “Monitoreo sistemático del flujo y la composición de gases en los volcanes de Costa Rica” y “Desgasificación de dióxido de carbono de origen profundo en el volcán Turrialba”; 4 personas académicas con movilidad financiada para participar en talleres internacionales (</w:t>
      </w:r>
      <w:r>
        <w:rPr>
          <w:rFonts w:ascii="Arial" w:hAnsi="Arial" w:cs="Arial"/>
          <w:i/>
          <w:sz w:val="22"/>
          <w:szCs w:val="22"/>
        </w:rPr>
        <w:t>Geophysical Networks in LatinAmerica</w:t>
      </w:r>
      <w:r>
        <w:rPr>
          <w:rFonts w:ascii="Arial" w:hAnsi="Arial" w:cs="Arial"/>
          <w:sz w:val="22"/>
          <w:szCs w:val="22"/>
        </w:rPr>
        <w:t xml:space="preserve">, en Chile, y </w:t>
      </w:r>
      <w:r>
        <w:rPr>
          <w:rFonts w:ascii="Arial" w:hAnsi="Arial" w:cs="Arial"/>
          <w:i/>
          <w:sz w:val="22"/>
          <w:szCs w:val="22"/>
        </w:rPr>
        <w:t>Sesión regional de discusión sobre integración de capacidades en sismología de América Central</w:t>
      </w:r>
      <w:r>
        <w:rPr>
          <w:rFonts w:ascii="Arial" w:hAnsi="Arial" w:cs="Arial"/>
          <w:sz w:val="22"/>
          <w:szCs w:val="22"/>
        </w:rPr>
        <w:t xml:space="preserve"> en Nicaragua, así como una pasantía de investigación en el volcán Copahue, Argentina (100%); todo lo anterior en el  ámbito del </w:t>
      </w:r>
      <w:r>
        <w:rPr>
          <w:rFonts w:ascii="Arial" w:hAnsi="Arial" w:cs="Arial"/>
          <w:i/>
          <w:sz w:val="22"/>
          <w:szCs w:val="22"/>
        </w:rPr>
        <w:t>Ovsicori</w:t>
      </w:r>
      <w:r>
        <w:rPr>
          <w:rFonts w:ascii="Arial" w:hAnsi="Arial" w:cs="Arial"/>
          <w:sz w:val="22"/>
          <w:szCs w:val="22"/>
        </w:rPr>
        <w:t>.</w:t>
      </w:r>
    </w:p>
    <w:p w:rsidR="00F87902" w:rsidRDefault="00A519F9">
      <w:pPr>
        <w:numPr>
          <w:ilvl w:val="0"/>
          <w:numId w:val="21"/>
        </w:numPr>
        <w:jc w:val="both"/>
      </w:pPr>
      <w:r>
        <w:rPr>
          <w:rFonts w:ascii="Arial" w:hAnsi="Arial" w:cs="Arial"/>
          <w:sz w:val="22"/>
          <w:szCs w:val="22"/>
        </w:rPr>
        <w:t xml:space="preserve">4 acciones de seguimiento que faciliten y permitan la participación de los estudiantes en los programas, proyectos y actividades académicas (100%): concurso </w:t>
      </w:r>
      <w:r>
        <w:rPr>
          <w:rFonts w:ascii="Arial" w:hAnsi="Arial" w:cs="Arial"/>
          <w:i/>
          <w:sz w:val="22"/>
          <w:szCs w:val="22"/>
        </w:rPr>
        <w:t>Focaes</w:t>
      </w:r>
      <w:r>
        <w:rPr>
          <w:rFonts w:ascii="Arial" w:hAnsi="Arial" w:cs="Arial"/>
          <w:sz w:val="22"/>
          <w:szCs w:val="22"/>
        </w:rPr>
        <w:t xml:space="preserve"> convocatoria, divulgación en red institucional, red estudiantil, correos asociaciones estudiantes, 50 estudiantes seleccionados de los cuales 27 ayudas</w:t>
      </w:r>
      <w:r w:rsidR="003668A3">
        <w:rPr>
          <w:rFonts w:ascii="Arial" w:hAnsi="Arial" w:cs="Arial"/>
          <w:sz w:val="22"/>
          <w:szCs w:val="22"/>
        </w:rPr>
        <w:t xml:space="preserve"> gestionadas por la Vicerrectorí</w:t>
      </w:r>
      <w:r>
        <w:rPr>
          <w:rFonts w:ascii="Arial" w:hAnsi="Arial" w:cs="Arial"/>
          <w:sz w:val="22"/>
          <w:szCs w:val="22"/>
        </w:rPr>
        <w:t>a de Investigación; gestión 9 nóminas, recepción de informes, recepción y publicación de convocatoria 2016, participación taller de evaluación con favorecidos, 7 estudiantes nombrados apoyo generación de indicadores de observatorio ambiental; revisión y aval de las olimpiadas de Física y Biología 2015 (100%).</w:t>
      </w:r>
    </w:p>
    <w:p w:rsidR="00F87902" w:rsidRDefault="00A519F9">
      <w:pPr>
        <w:numPr>
          <w:ilvl w:val="0"/>
          <w:numId w:val="21"/>
        </w:numPr>
        <w:jc w:val="both"/>
        <w:rPr>
          <w:rFonts w:ascii="Arial" w:hAnsi="Arial" w:cs="Arial"/>
          <w:sz w:val="22"/>
          <w:szCs w:val="22"/>
        </w:rPr>
      </w:pPr>
      <w:r>
        <w:rPr>
          <w:rFonts w:ascii="Arial" w:hAnsi="Arial" w:cs="Arial"/>
          <w:sz w:val="22"/>
          <w:szCs w:val="22"/>
        </w:rPr>
        <w:lastRenderedPageBreak/>
        <w:t>100% de logro en la gestión del concurso UNA-Redes, en todas sus fases y actividades relacionadas con las convocatorias y los procesos de evaluación: seguimiento a redes académicas vigentes puesto que en el 2015 no hubo convocatorias de este financiamiento; la propuesta de convocatoria 2016 ya fue entregada a comisión de vicedecanos para su revisión.</w:t>
      </w:r>
    </w:p>
    <w:p w:rsidR="00F87902" w:rsidRDefault="00A519F9">
      <w:pPr>
        <w:numPr>
          <w:ilvl w:val="0"/>
          <w:numId w:val="21"/>
        </w:numPr>
        <w:jc w:val="both"/>
        <w:rPr>
          <w:rFonts w:ascii="Arial" w:hAnsi="Arial" w:cs="Arial"/>
          <w:sz w:val="22"/>
          <w:szCs w:val="22"/>
        </w:rPr>
      </w:pPr>
      <w:r>
        <w:rPr>
          <w:rFonts w:ascii="Arial" w:hAnsi="Arial" w:cs="Arial"/>
          <w:sz w:val="22"/>
          <w:szCs w:val="22"/>
        </w:rPr>
        <w:t>12 acciones de promoción de alianzas estratégicas para la investigación: 1 convocatoria, 20 reuniones presenciales, 2 reuniones telefónicas, 13 envíos a comisión, 13 avales de aprobación, 10 avales informes finales, 1 informe final 2011-2014, 1 informe final en modo de presentación (100%).</w:t>
      </w:r>
    </w:p>
    <w:p w:rsidR="00F87902" w:rsidRDefault="00A519F9">
      <w:pPr>
        <w:numPr>
          <w:ilvl w:val="0"/>
          <w:numId w:val="21"/>
        </w:numPr>
        <w:jc w:val="both"/>
        <w:rPr>
          <w:rFonts w:ascii="Arial" w:hAnsi="Arial" w:cs="Arial"/>
          <w:sz w:val="22"/>
          <w:szCs w:val="22"/>
        </w:rPr>
      </w:pPr>
      <w:r>
        <w:rPr>
          <w:rFonts w:ascii="Arial" w:hAnsi="Arial" w:cs="Arial"/>
          <w:sz w:val="22"/>
          <w:szCs w:val="22"/>
        </w:rPr>
        <w:t xml:space="preserve">1 nueva propuesta del programa Umbral Político Fase III, 2016-2020; variedad de actividades en el ámbito del proyecto “Derecho consuetudinario y derechos humanos en el área de la salud en la comunidad Ngöbe” (reuniones con las direcciones de Investigación y Extensión de la Facultad de Derecho de la UCR, giras para recolección de información, documento de comparación entre Ngöbes y mayas, ponencias –Tradición oral Ngöbe-Buglé, Identidad en una comunidad indígena transfronteriza–); en el entorno del </w:t>
      </w:r>
      <w:r>
        <w:rPr>
          <w:rFonts w:ascii="Arial" w:hAnsi="Arial" w:cs="Arial"/>
          <w:i/>
          <w:sz w:val="22"/>
          <w:szCs w:val="22"/>
        </w:rPr>
        <w:t>Idespo</w:t>
      </w:r>
      <w:r>
        <w:rPr>
          <w:rFonts w:ascii="Arial" w:hAnsi="Arial" w:cs="Arial"/>
          <w:sz w:val="22"/>
          <w:szCs w:val="22"/>
        </w:rPr>
        <w:t xml:space="preserve"> (100%).</w:t>
      </w:r>
    </w:p>
    <w:p w:rsidR="00F87902" w:rsidRDefault="00A519F9">
      <w:pPr>
        <w:numPr>
          <w:ilvl w:val="0"/>
          <w:numId w:val="21"/>
        </w:numPr>
        <w:jc w:val="both"/>
        <w:rPr>
          <w:rFonts w:ascii="Arial" w:hAnsi="Arial" w:cs="Arial"/>
          <w:sz w:val="22"/>
          <w:szCs w:val="22"/>
        </w:rPr>
      </w:pPr>
      <w:r>
        <w:rPr>
          <w:rFonts w:ascii="Arial" w:hAnsi="Arial" w:cs="Arial"/>
          <w:sz w:val="22"/>
          <w:szCs w:val="22"/>
        </w:rPr>
        <w:t>100% de logro en la inclusión de especies de plantas Gimnospermas y Angiospermas presentes en el páramo ístmico: base de datos digital de la condición fenológica de 71 especies de plantas del volcán Irazú y de 106 especies de plantas del macizo Buenavista; entrega de 500 ejemplares de plantas al Herbario Nacional de Costa Rica, que fueron completamente identificados hasta especie; lista digital actualizada de las 510 especies de plantas del páramo Ístmico y digitalización de su detalle con distribución mundial, en páramo Ístmico, altitudinal en Costa Rica y Panamá, fotografía y fenología teórica; en el ámbito de la Escuela de Ciencias Ambientales.</w:t>
      </w:r>
    </w:p>
    <w:p w:rsidR="00F87902" w:rsidRDefault="00A519F9">
      <w:pPr>
        <w:numPr>
          <w:ilvl w:val="0"/>
          <w:numId w:val="21"/>
        </w:numPr>
        <w:jc w:val="both"/>
        <w:rPr>
          <w:rFonts w:ascii="Arial" w:hAnsi="Arial" w:cs="Arial"/>
          <w:sz w:val="22"/>
          <w:szCs w:val="22"/>
        </w:rPr>
      </w:pPr>
      <w:r>
        <w:rPr>
          <w:rFonts w:ascii="Arial" w:hAnsi="Arial" w:cs="Arial"/>
          <w:sz w:val="22"/>
          <w:szCs w:val="22"/>
        </w:rPr>
        <w:t xml:space="preserve">85% de logro en la ejecución de acciones para el fortalecimiento de las relaciones con instancias externas de apoyo a la investigación: tomar parte en la organización de la 42va. Reunión del Sistema Regional y del Caribe de investigación y posgrado (Sircip), participación en una reunión del </w:t>
      </w:r>
      <w:r>
        <w:rPr>
          <w:rFonts w:ascii="Arial" w:hAnsi="Arial" w:cs="Arial"/>
          <w:i/>
          <w:sz w:val="22"/>
          <w:szCs w:val="22"/>
        </w:rPr>
        <w:t>Csuca</w:t>
      </w:r>
      <w:r>
        <w:rPr>
          <w:rFonts w:ascii="Arial" w:hAnsi="Arial" w:cs="Arial"/>
          <w:sz w:val="22"/>
          <w:szCs w:val="22"/>
        </w:rPr>
        <w:t>, establecimiento de contactos en España con funcionarios de las universidades de Murcia, Complutense de Madrid y Barcelona, contratación de una persona especializada en el tema de internacionalización, 3 reuniones con embajadores, diseño de material para público en el exterior y su traducción.</w:t>
      </w:r>
    </w:p>
    <w:p w:rsidR="00F87902" w:rsidRDefault="00A519F9">
      <w:pPr>
        <w:numPr>
          <w:ilvl w:val="0"/>
          <w:numId w:val="21"/>
        </w:numPr>
        <w:jc w:val="both"/>
        <w:rPr>
          <w:rFonts w:ascii="Arial" w:hAnsi="Arial" w:cs="Arial"/>
          <w:sz w:val="22"/>
          <w:szCs w:val="22"/>
        </w:rPr>
      </w:pPr>
      <w:r>
        <w:rPr>
          <w:rFonts w:ascii="Arial" w:hAnsi="Arial" w:cs="Arial"/>
          <w:sz w:val="22"/>
          <w:szCs w:val="22"/>
        </w:rPr>
        <w:t>100% de logro en atender la gestión académica del FIDA en todas sus fases: gestión de concurso 2015, consulta Asesoría Jurídica Reglamento y condición reforma reglamentaria, solicitud designación comisión técnica asesora, análisis retrospectivo de acciones realizadas durante 8 años, presentación y análisis de retrospectiva a vicerrectores  y rectoría adjunta, entre otros.</w:t>
      </w:r>
    </w:p>
    <w:p w:rsidR="00F87902" w:rsidRDefault="00F87902">
      <w:pPr>
        <w:ind w:left="1788"/>
        <w:jc w:val="both"/>
        <w:rPr>
          <w:rFonts w:ascii="Arial" w:hAnsi="Arial" w:cs="Arial"/>
          <w:sz w:val="22"/>
          <w:szCs w:val="22"/>
        </w:rPr>
      </w:pP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3.2 Ejecutar 46 PPAA de extensión que fortalezcan el aporte de la UNA a las comunidades, mediante una extensión universitaria pertinente.</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de la meta es del orden del </w:t>
      </w:r>
      <w:r>
        <w:rPr>
          <w:rFonts w:ascii="Arial" w:hAnsi="Arial" w:cs="Arial"/>
          <w:b/>
          <w:sz w:val="22"/>
          <w:szCs w:val="22"/>
        </w:rPr>
        <w:t>100%</w:t>
      </w:r>
      <w:r>
        <w:rPr>
          <w:rFonts w:ascii="Arial" w:hAnsi="Arial" w:cs="Arial"/>
          <w:sz w:val="22"/>
          <w:szCs w:val="22"/>
        </w:rPr>
        <w:t xml:space="preserve">, con base en los logros obtenidos durante el periodo de análisis, según se detalla:                </w:t>
      </w:r>
    </w:p>
    <w:p w:rsidR="00F87902" w:rsidRDefault="00F87902">
      <w:pPr>
        <w:spacing w:line="360" w:lineRule="auto"/>
        <w:ind w:left="708"/>
        <w:jc w:val="both"/>
        <w:rPr>
          <w:rFonts w:ascii="Arial" w:hAnsi="Arial" w:cs="Arial"/>
          <w:b/>
          <w:i/>
          <w:color w:val="E36C0A" w:themeColor="accent6" w:themeShade="BF"/>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54 </w:t>
      </w:r>
      <w:r>
        <w:rPr>
          <w:rFonts w:ascii="Arial" w:hAnsi="Arial" w:cs="Arial"/>
          <w:sz w:val="22"/>
          <w:szCs w:val="22"/>
        </w:rPr>
        <w:t>programas, proyectos y actividades académicas de extensión desarrolladas: 9 actividades, 2 programas, 1 revista y 42 proyectos.</w:t>
      </w:r>
    </w:p>
    <w:p w:rsidR="00F87902" w:rsidRDefault="00F87902">
      <w:pPr>
        <w:ind w:left="1068"/>
        <w:jc w:val="both"/>
        <w:rPr>
          <w:rFonts w:ascii="Arial" w:hAnsi="Arial" w:cs="Arial"/>
          <w:sz w:val="22"/>
          <w:szCs w:val="22"/>
        </w:rPr>
      </w:pPr>
    </w:p>
    <w:p w:rsidR="00F87902" w:rsidRDefault="00A519F9">
      <w:pPr>
        <w:ind w:left="1068"/>
        <w:jc w:val="both"/>
        <w:rPr>
          <w:rFonts w:ascii="Arial" w:hAnsi="Arial" w:cs="Arial"/>
          <w:sz w:val="22"/>
          <w:szCs w:val="22"/>
        </w:rPr>
      </w:pPr>
      <w:r>
        <w:rPr>
          <w:rFonts w:ascii="Arial" w:hAnsi="Arial" w:cs="Arial"/>
          <w:sz w:val="22"/>
          <w:szCs w:val="22"/>
        </w:rPr>
        <w:t>El siguiente detalle ejemplifica la ejecución de PPAA anteriormente descrita:</w:t>
      </w:r>
    </w:p>
    <w:p w:rsidR="00F87902" w:rsidRDefault="00F87902">
      <w:pPr>
        <w:ind w:left="1068"/>
        <w:jc w:val="both"/>
        <w:rPr>
          <w:rFonts w:ascii="Arial" w:hAnsi="Arial" w:cs="Arial"/>
          <w:sz w:val="22"/>
          <w:szCs w:val="22"/>
        </w:rPr>
      </w:pPr>
    </w:p>
    <w:p w:rsidR="00F87902" w:rsidRDefault="00A519F9">
      <w:pPr>
        <w:numPr>
          <w:ilvl w:val="0"/>
          <w:numId w:val="22"/>
        </w:numPr>
        <w:ind w:left="1428"/>
        <w:jc w:val="both"/>
        <w:rPr>
          <w:rFonts w:ascii="Arial" w:hAnsi="Arial" w:cs="Arial"/>
          <w:sz w:val="22"/>
          <w:szCs w:val="22"/>
        </w:rPr>
      </w:pPr>
      <w:r>
        <w:rPr>
          <w:rFonts w:ascii="Arial" w:hAnsi="Arial" w:cs="Arial"/>
          <w:sz w:val="22"/>
          <w:szCs w:val="22"/>
        </w:rPr>
        <w:t>100% de logro en la colaboración para organizar el Certamen UNA-Palabra (premio Universidad Nacional y premio Omar Dengo): participación de 27 personas que presentaron obras en las distintas ramas que ofrece el certamen, elección de los tres granadores del premio Universidad Nacional en ensayo, cuento y teatro; en el ámbito de la Facultad de Filosofía y Letras.</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10 actividades relacionadas al arte musical, con la participación de estudiantes, personas académicas y expertos internacionales: clases magistrales, recitales diversos (100%).</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90% de avance en el desarrollo del marco del proyecto de extensión Mediación Pedagógica de la Lectoescritura en el ámbito de la División de Educación Básica del CIDE.</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1 proyecto “Construyendo espacios de diálogo intercultural” desde el Colegio Humanístico: práctica profesional supervisada, gira a comunidades indígenas, capacitación de base de datos con los quintos años del Colegio, 4 giras con estudiantes del curso, 2 talleres para décimo y undécimo años en Coto, 2 bibliotecas escolares formadas, gestión de creación del código de la biblioteca del Liceo Rural la Casona, realización de videos, donación y entrega de documentos, actividad protocolaria y recreativa con estudiantes y profesores de cierre del proyecto; asimismo, 100% en la ejecución del proyecto “Conocimiento, paz y gestión social”: una actividad para sensibilizar a la niñez sobre los valores de la amistad, el respeto al medio ambiente, dirigido a la comunidad Los Ángeles de Quebrada Grande (Liberia), y 9 talleres dirigidos a las comunidades de Cuenca (Heredia) y Los Ángeles de Quebrada Grande (Liberia) en los temas de derechos sexuales y reproductivos; en el espacio de la Escuela de Bibliotecología, Documentación e Información.</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8 estudiantes incorporados en los proyectos de la Escuela Ecuménica de Ciencias de la Religión (100%).</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2 proyectos en ejecución que impactan la educación de la matemática en el país: MATEM y el orientado a fortalecer la apropiación social de la matemática y el aprendizaje continuo (100%).</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100% de logro en la promoción de las condiciones y prácticas seguras de manejo de residuos y de condiciones de trabajo relacionadas con la aplicación de agroquímicos: fichas de implementación de seguimiento diseñadas, proceso sistematizado, asesoría en la implementación del sistema en CoopeTarrazú en respuesta a su solicitud; en el ámbito del IRET.</w:t>
      </w:r>
    </w:p>
    <w:p w:rsidR="00F87902" w:rsidRDefault="00A519F9">
      <w:pPr>
        <w:numPr>
          <w:ilvl w:val="0"/>
          <w:numId w:val="22"/>
        </w:numPr>
        <w:ind w:left="1428"/>
        <w:jc w:val="both"/>
        <w:rPr>
          <w:rFonts w:ascii="Arial" w:hAnsi="Arial" w:cs="Arial"/>
          <w:sz w:val="22"/>
          <w:szCs w:val="22"/>
        </w:rPr>
      </w:pPr>
      <w:r>
        <w:rPr>
          <w:rFonts w:ascii="Arial" w:hAnsi="Arial" w:cs="Arial"/>
          <w:sz w:val="22"/>
          <w:szCs w:val="22"/>
        </w:rPr>
        <w:t xml:space="preserve">100% de logro en la realización del proyecto “Construyendo espacios de diálogo intercultural desde el Colegio Humanístico de Coto”: pasantía de académica de la Universidad Rafael Landívar de Guatemala, elaboración y presentación del libro “Tejiendo la voz, jóvenes de Centroamérica en una nueva historia” y la definición de líneas de acción como parte del convenio marco de cooperación entre la UNA y la Universidad Rafael Landívar de Guatemala, etc.; procesamiento de datos y elaboración de cuadros y gráficos de la encuesta “Percepción de la población costarricense sobre la discriminación” para la escritura del artículo “Un acercamiento a la discriminación en Centroamérica: los casos de Costa Rica y Guatemala”, y para la elaboración del material divulgativo sobre discriminación, video “Construyendo espacios de diálogo intercultural”, edición del libro “Aportes a la discusión N° 14 sobre discriminación y nuevas metodologías para su abordaje”; en el ámbito del </w:t>
      </w:r>
      <w:r>
        <w:rPr>
          <w:rFonts w:ascii="Arial" w:hAnsi="Arial" w:cs="Arial"/>
          <w:i/>
          <w:sz w:val="22"/>
          <w:szCs w:val="22"/>
        </w:rPr>
        <w:t>Idespo.</w:t>
      </w:r>
    </w:p>
    <w:p w:rsidR="00F87902" w:rsidRDefault="00F87902">
      <w:pPr>
        <w:ind w:left="1428"/>
        <w:jc w:val="both"/>
        <w:rPr>
          <w:rFonts w:ascii="Arial" w:hAnsi="Arial" w:cs="Arial"/>
          <w:sz w:val="22"/>
          <w:szCs w:val="22"/>
        </w:rPr>
      </w:pPr>
    </w:p>
    <w:p w:rsidR="00F87902" w:rsidRDefault="00A519F9">
      <w:pPr>
        <w:spacing w:line="360" w:lineRule="auto"/>
        <w:ind w:left="709"/>
        <w:jc w:val="both"/>
        <w:rPr>
          <w:rFonts w:ascii="Arial" w:hAnsi="Arial" w:cs="Arial"/>
          <w:b/>
        </w:rPr>
      </w:pPr>
      <w:r>
        <w:rPr>
          <w:rFonts w:ascii="Arial" w:hAnsi="Arial" w:cs="Arial"/>
          <w:b/>
        </w:rPr>
        <w:lastRenderedPageBreak/>
        <w:t xml:space="preserve">Meta 3.3 Ejecutar 186 PPAA integradas que fortalezcan la vinculación y la proyección de las áreas académicas.                    </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Las actividades desarrolladas para el cumplimiento de esta meta (</w:t>
      </w:r>
      <w:r>
        <w:rPr>
          <w:rFonts w:ascii="Arial" w:hAnsi="Arial" w:cs="Arial"/>
          <w:b/>
          <w:sz w:val="22"/>
          <w:szCs w:val="22"/>
        </w:rPr>
        <w:t>100%</w:t>
      </w:r>
      <w:r>
        <w:rPr>
          <w:rFonts w:ascii="Arial" w:hAnsi="Arial" w:cs="Arial"/>
          <w:sz w:val="22"/>
          <w:szCs w:val="22"/>
        </w:rPr>
        <w:t xml:space="preserve">) se ilustran a continuación:    </w:t>
      </w:r>
    </w:p>
    <w:p w:rsidR="00F87902" w:rsidRDefault="00F87902">
      <w:pPr>
        <w:ind w:left="708"/>
        <w:jc w:val="both"/>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215 </w:t>
      </w:r>
      <w:r>
        <w:rPr>
          <w:rFonts w:ascii="Arial" w:hAnsi="Arial" w:cs="Arial"/>
          <w:sz w:val="22"/>
          <w:szCs w:val="22"/>
        </w:rPr>
        <w:t>programas, proyectos y actividades académicas desarrolladas: 14 actividades, 13 laboratorios, 10 producciones de bienes y servicios, 71 programas, y 107 proyectos.</w:t>
      </w:r>
    </w:p>
    <w:p w:rsidR="00F87902" w:rsidRDefault="00F87902">
      <w:pPr>
        <w:ind w:left="1068"/>
        <w:jc w:val="both"/>
        <w:rPr>
          <w:rFonts w:ascii="Arial" w:hAnsi="Arial" w:cs="Arial"/>
          <w:sz w:val="22"/>
          <w:szCs w:val="22"/>
        </w:rPr>
      </w:pPr>
    </w:p>
    <w:p w:rsidR="00F87902" w:rsidRDefault="00A519F9">
      <w:pPr>
        <w:ind w:left="1068"/>
        <w:jc w:val="both"/>
        <w:rPr>
          <w:rFonts w:ascii="Arial" w:hAnsi="Arial" w:cs="Arial"/>
          <w:sz w:val="22"/>
          <w:szCs w:val="22"/>
        </w:rPr>
      </w:pPr>
      <w:r>
        <w:rPr>
          <w:rFonts w:ascii="Arial" w:hAnsi="Arial" w:cs="Arial"/>
          <w:sz w:val="22"/>
          <w:szCs w:val="22"/>
        </w:rPr>
        <w:t>En cuanto a los PPAA desarrollados se muestran las siguientes actividades:</w:t>
      </w:r>
    </w:p>
    <w:p w:rsidR="00F87902" w:rsidRDefault="00F87902">
      <w:pPr>
        <w:ind w:left="709"/>
        <w:jc w:val="both"/>
        <w:rPr>
          <w:rFonts w:ascii="Arial" w:hAnsi="Arial" w:cs="Arial"/>
          <w:sz w:val="22"/>
          <w:szCs w:val="22"/>
        </w:rPr>
      </w:pPr>
    </w:p>
    <w:p w:rsidR="00F87902" w:rsidRDefault="00A519F9">
      <w:pPr>
        <w:numPr>
          <w:ilvl w:val="0"/>
          <w:numId w:val="23"/>
        </w:numPr>
        <w:ind w:left="1428"/>
        <w:jc w:val="both"/>
        <w:rPr>
          <w:rFonts w:ascii="Arial" w:hAnsi="Arial" w:cs="Arial"/>
          <w:sz w:val="22"/>
          <w:szCs w:val="22"/>
        </w:rPr>
      </w:pPr>
      <w:r>
        <w:rPr>
          <w:rFonts w:ascii="Arial" w:hAnsi="Arial" w:cs="Arial"/>
          <w:sz w:val="22"/>
          <w:szCs w:val="22"/>
        </w:rPr>
        <w:t xml:space="preserve">100% de logro en el desarrollo de un proyecto interdisciplinario en el tema del agua: participación en el proyecto </w:t>
      </w:r>
      <w:r>
        <w:rPr>
          <w:rFonts w:ascii="Arial" w:hAnsi="Arial" w:cs="Arial"/>
          <w:i/>
          <w:sz w:val="22"/>
          <w:szCs w:val="22"/>
        </w:rPr>
        <w:t>Csuca-Cosude</w:t>
      </w:r>
      <w:r>
        <w:rPr>
          <w:rFonts w:ascii="Arial" w:hAnsi="Arial" w:cs="Arial"/>
          <w:sz w:val="22"/>
          <w:szCs w:val="22"/>
        </w:rPr>
        <w:t xml:space="preserve"> denominado curso de especialización: “Tecnologías alternativas de abastecimiento de agua potable y saneamiento”; participación en red </w:t>
      </w:r>
      <w:r>
        <w:rPr>
          <w:rFonts w:ascii="Arial" w:hAnsi="Arial" w:cs="Arial"/>
          <w:i/>
          <w:sz w:val="22"/>
          <w:szCs w:val="22"/>
        </w:rPr>
        <w:t>CytedInvawet</w:t>
      </w:r>
      <w:r>
        <w:rPr>
          <w:rFonts w:ascii="Arial" w:hAnsi="Arial" w:cs="Arial"/>
          <w:sz w:val="22"/>
          <w:szCs w:val="22"/>
        </w:rPr>
        <w:t>; participación en comisiones (</w:t>
      </w:r>
      <w:r>
        <w:rPr>
          <w:rFonts w:ascii="Arial" w:hAnsi="Arial" w:cs="Arial"/>
          <w:i/>
          <w:sz w:val="22"/>
          <w:szCs w:val="22"/>
        </w:rPr>
        <w:t>CAS-Conare</w:t>
      </w:r>
      <w:r>
        <w:rPr>
          <w:rFonts w:ascii="Arial" w:hAnsi="Arial" w:cs="Arial"/>
          <w:sz w:val="22"/>
          <w:szCs w:val="22"/>
        </w:rPr>
        <w:t xml:space="preserve">, Tárcoles, CIMH, BAE). Se ejecutó completamente (se presentó ante el </w:t>
      </w:r>
      <w:r>
        <w:rPr>
          <w:rFonts w:ascii="Arial" w:hAnsi="Arial" w:cs="Arial"/>
          <w:i/>
          <w:sz w:val="22"/>
          <w:szCs w:val="22"/>
        </w:rPr>
        <w:t>Csuca</w:t>
      </w:r>
      <w:r>
        <w:rPr>
          <w:rFonts w:ascii="Arial" w:hAnsi="Arial" w:cs="Arial"/>
          <w:sz w:val="22"/>
          <w:szCs w:val="22"/>
        </w:rPr>
        <w:t xml:space="preserve"> en Panamá), 1 memoria y 1 taller.</w:t>
      </w:r>
    </w:p>
    <w:p w:rsidR="00F87902" w:rsidRDefault="00A519F9">
      <w:pPr>
        <w:numPr>
          <w:ilvl w:val="0"/>
          <w:numId w:val="23"/>
        </w:numPr>
        <w:ind w:left="1428"/>
        <w:jc w:val="both"/>
        <w:rPr>
          <w:rFonts w:ascii="Arial" w:hAnsi="Arial" w:cs="Arial"/>
          <w:sz w:val="22"/>
          <w:szCs w:val="22"/>
        </w:rPr>
      </w:pPr>
      <w:r>
        <w:rPr>
          <w:rFonts w:ascii="Arial" w:hAnsi="Arial" w:cs="Arial"/>
          <w:sz w:val="22"/>
          <w:szCs w:val="22"/>
        </w:rPr>
        <w:t>100% de logro en las actividades de formación y capacitación en el tema de recursos hídricos: I Foro Estado del recurso hídrico en la provincia de Heredia; cine foro La sed del mundo, en el marco del día mundial del agua; concurso fotográfico “El agua en nuestras vidas”, participación en la organización de la festividad de UNA por la Madre Tierra, colaboración en Simposio Cambio Climático del Centro de Estudios Generales.</w:t>
      </w:r>
    </w:p>
    <w:p w:rsidR="00F87902" w:rsidRDefault="00A519F9">
      <w:pPr>
        <w:numPr>
          <w:ilvl w:val="0"/>
          <w:numId w:val="23"/>
        </w:numPr>
        <w:ind w:left="1428"/>
        <w:jc w:val="both"/>
        <w:rPr>
          <w:rFonts w:ascii="Arial" w:hAnsi="Arial" w:cs="Arial"/>
          <w:sz w:val="22"/>
          <w:szCs w:val="22"/>
        </w:rPr>
      </w:pPr>
      <w:r>
        <w:rPr>
          <w:rFonts w:ascii="Arial" w:hAnsi="Arial" w:cs="Arial"/>
          <w:sz w:val="22"/>
          <w:szCs w:val="22"/>
        </w:rPr>
        <w:t xml:space="preserve">1 proyecto ejecutado de “Análisis de la situación de mujeres y hombres en Costa Rica desde una perspectiva de género” (100%): definición de los capítulos del libro acerca de la situación de las mujeres y los hombres en Costa Rica, verificación y limpieza de la base de datos de la Encuesta Acercamiento a la población miskita en Costa Rica, 2 reuniones con la Red distrital de derechos de la niñez y la adolescencia del subsistema local de protección de Pavas, firma de convenios de cooperación (INEC-UNA-Inamu, INEC-Inamu-UCR-UNA), etcétera.; participación en la Red de pueblos indígenas de la UNA, en la Comisión interinstitucional de contabilización del trabajo femenino y Red distrital de derechos de la niñez y la adolescencia del subsistema local de protección de Pavas del Patronato Nacional de la Infancia (PANI); todo en el ámbito del </w:t>
      </w:r>
      <w:r>
        <w:rPr>
          <w:rFonts w:ascii="Arial" w:hAnsi="Arial" w:cs="Arial"/>
          <w:i/>
          <w:sz w:val="22"/>
          <w:szCs w:val="22"/>
        </w:rPr>
        <w:t>Idespo</w:t>
      </w:r>
      <w:r>
        <w:rPr>
          <w:rFonts w:ascii="Arial" w:hAnsi="Arial" w:cs="Arial"/>
          <w:sz w:val="22"/>
          <w:szCs w:val="22"/>
        </w:rPr>
        <w:t>.</w:t>
      </w:r>
    </w:p>
    <w:p w:rsidR="00F87902" w:rsidRDefault="00A519F9">
      <w:pPr>
        <w:numPr>
          <w:ilvl w:val="0"/>
          <w:numId w:val="23"/>
        </w:numPr>
        <w:ind w:left="1428"/>
        <w:jc w:val="both"/>
        <w:rPr>
          <w:rFonts w:ascii="Arial" w:hAnsi="Arial" w:cs="Arial"/>
          <w:sz w:val="22"/>
          <w:szCs w:val="22"/>
        </w:rPr>
      </w:pPr>
      <w:r>
        <w:rPr>
          <w:rFonts w:ascii="Arial" w:hAnsi="Arial" w:cs="Arial"/>
          <w:sz w:val="22"/>
          <w:szCs w:val="22"/>
        </w:rPr>
        <w:t xml:space="preserve">Trabajo conjunto, orientado a la interacción y la reflexión académica, entre el </w:t>
      </w:r>
      <w:r>
        <w:rPr>
          <w:rFonts w:ascii="Arial" w:hAnsi="Arial" w:cs="Arial"/>
          <w:i/>
          <w:sz w:val="22"/>
          <w:szCs w:val="22"/>
        </w:rPr>
        <w:t>Ovsicori</w:t>
      </w:r>
      <w:r>
        <w:rPr>
          <w:rFonts w:ascii="Arial" w:hAnsi="Arial" w:cs="Arial"/>
          <w:sz w:val="22"/>
          <w:szCs w:val="22"/>
        </w:rPr>
        <w:t xml:space="preserve">, la Escuela de Ciencias Ambientales y el </w:t>
      </w:r>
      <w:r>
        <w:rPr>
          <w:rFonts w:ascii="Arial" w:hAnsi="Arial" w:cs="Arial"/>
          <w:i/>
          <w:sz w:val="22"/>
          <w:szCs w:val="22"/>
        </w:rPr>
        <w:t>Sinac</w:t>
      </w:r>
      <w:r>
        <w:rPr>
          <w:rFonts w:ascii="Arial" w:hAnsi="Arial" w:cs="Arial"/>
          <w:sz w:val="22"/>
          <w:szCs w:val="22"/>
        </w:rPr>
        <w:t xml:space="preserve"> en creación de una plataforma de observación en tiempo real de dióxido de azufre y partículas finas volcánicas para su instalación en sitio estratégico entre el volcán Turrialba y el valle Central, a fin de estudiar si hay correlaciones entre la emisión de dióxido de azufre y mercurio en las fumarolas (100%).</w:t>
      </w:r>
    </w:p>
    <w:p w:rsidR="00F87902" w:rsidRDefault="00F87902">
      <w:pPr>
        <w:spacing w:line="360" w:lineRule="auto"/>
        <w:ind w:left="709"/>
        <w:jc w:val="both"/>
        <w:rPr>
          <w:rFonts w:ascii="Arial" w:hAnsi="Arial" w:cs="Arial"/>
          <w:b/>
        </w:rPr>
      </w:pPr>
    </w:p>
    <w:p w:rsidR="00F87902" w:rsidRDefault="00A519F9">
      <w:pPr>
        <w:spacing w:line="360" w:lineRule="auto"/>
        <w:ind w:left="709"/>
        <w:jc w:val="both"/>
        <w:rPr>
          <w:rFonts w:ascii="Arial" w:hAnsi="Arial" w:cs="Arial"/>
          <w:b/>
        </w:rPr>
      </w:pPr>
      <w:r>
        <w:rPr>
          <w:rFonts w:ascii="Arial" w:hAnsi="Arial" w:cs="Arial"/>
          <w:b/>
        </w:rPr>
        <w:t xml:space="preserve">Meta 3.4 Ejecutar 30 actividades de sistematización y divulgación (revistas) que permita fortalecer la relación universidad-sociedad.     </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Se han desarrollado 38 </w:t>
      </w:r>
      <w:r w:rsidR="003668A3">
        <w:rPr>
          <w:rFonts w:ascii="Arial" w:hAnsi="Arial" w:cs="Arial"/>
          <w:sz w:val="22"/>
          <w:szCs w:val="22"/>
        </w:rPr>
        <w:t xml:space="preserve">tipos de </w:t>
      </w:r>
      <w:r>
        <w:rPr>
          <w:rFonts w:ascii="Arial" w:hAnsi="Arial" w:cs="Arial"/>
          <w:sz w:val="22"/>
          <w:szCs w:val="22"/>
        </w:rPr>
        <w:t>actividades de esta naturaleza con diferente grado de logro (</w:t>
      </w:r>
      <w:r>
        <w:rPr>
          <w:rFonts w:ascii="Arial" w:hAnsi="Arial" w:cs="Arial"/>
          <w:b/>
          <w:sz w:val="22"/>
          <w:szCs w:val="22"/>
        </w:rPr>
        <w:t>100%</w:t>
      </w:r>
      <w:r>
        <w:rPr>
          <w:rFonts w:ascii="Arial" w:hAnsi="Arial" w:cs="Arial"/>
          <w:sz w:val="22"/>
          <w:szCs w:val="22"/>
        </w:rPr>
        <w:t xml:space="preserve"> de cumplimiento), según se describe:              </w:t>
      </w:r>
    </w:p>
    <w:p w:rsidR="00F87902" w:rsidRDefault="00F87902">
      <w:pPr>
        <w:ind w:left="708"/>
        <w:jc w:val="both"/>
        <w:rPr>
          <w:rFonts w:ascii="Arial" w:hAnsi="Arial" w:cs="Arial"/>
          <w:b/>
          <w:i/>
          <w:color w:val="E36C0A" w:themeColor="accent6" w:themeShade="BF"/>
          <w:sz w:val="22"/>
          <w:szCs w:val="22"/>
        </w:rPr>
      </w:pPr>
    </w:p>
    <w:p w:rsidR="00F87902" w:rsidRDefault="00A519F9">
      <w:pPr>
        <w:numPr>
          <w:ilvl w:val="0"/>
          <w:numId w:val="2"/>
        </w:numPr>
        <w:ind w:left="1068"/>
        <w:jc w:val="both"/>
      </w:pPr>
      <w:r>
        <w:rPr>
          <w:rFonts w:ascii="Arial" w:hAnsi="Arial" w:cs="Arial"/>
          <w:b/>
          <w:sz w:val="22"/>
          <w:szCs w:val="22"/>
        </w:rPr>
        <w:lastRenderedPageBreak/>
        <w:t>2 trabajos académicos</w:t>
      </w:r>
      <w:r>
        <w:rPr>
          <w:rFonts w:ascii="Arial" w:hAnsi="Arial" w:cs="Arial"/>
          <w:sz w:val="22"/>
          <w:szCs w:val="22"/>
        </w:rPr>
        <w:t xml:space="preserve">: presentación del número 17 de la revista </w:t>
      </w:r>
      <w:r>
        <w:rPr>
          <w:rFonts w:ascii="Arial" w:hAnsi="Arial" w:cs="Arial"/>
          <w:i/>
          <w:sz w:val="22"/>
          <w:szCs w:val="22"/>
        </w:rPr>
        <w:t>Ístmica</w:t>
      </w:r>
      <w:r>
        <w:rPr>
          <w:rFonts w:ascii="Arial" w:hAnsi="Arial" w:cs="Arial"/>
          <w:sz w:val="22"/>
          <w:szCs w:val="22"/>
        </w:rPr>
        <w:t xml:space="preserve"> de la Facultad de Filosofía y Letras, en prensa para publicación la número 18 (100%); </w:t>
      </w:r>
      <w:r>
        <w:rPr>
          <w:rFonts w:ascii="Arial" w:hAnsi="Arial" w:cs="Arial"/>
          <w:b/>
          <w:sz w:val="22"/>
          <w:szCs w:val="22"/>
        </w:rPr>
        <w:t>3 nuevos canjes</w:t>
      </w:r>
      <w:r>
        <w:rPr>
          <w:rFonts w:ascii="Arial" w:hAnsi="Arial" w:cs="Arial"/>
          <w:sz w:val="22"/>
          <w:szCs w:val="22"/>
        </w:rPr>
        <w:t xml:space="preserve"> con revistas de otros países (100%).    </w:t>
      </w:r>
    </w:p>
    <w:p w:rsidR="00F87902" w:rsidRDefault="00F87902">
      <w:pPr>
        <w:ind w:left="1068"/>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50% de logro </w:t>
      </w:r>
      <w:r>
        <w:rPr>
          <w:rFonts w:ascii="Arial" w:hAnsi="Arial" w:cs="Arial"/>
          <w:sz w:val="22"/>
          <w:szCs w:val="22"/>
        </w:rPr>
        <w:t xml:space="preserve">en la publicación de revistas: política editorial, participación en 3 eventos, presentación de la revista, en el </w:t>
      </w:r>
      <w:r>
        <w:rPr>
          <w:rFonts w:ascii="Arial" w:hAnsi="Arial" w:cs="Arial"/>
          <w:i/>
          <w:sz w:val="22"/>
          <w:szCs w:val="22"/>
        </w:rPr>
        <w:t>Cinpe</w:t>
      </w:r>
      <w:r>
        <w:rPr>
          <w:rFonts w:ascii="Arial" w:hAnsi="Arial" w:cs="Arial"/>
          <w:sz w:val="22"/>
          <w:szCs w:val="22"/>
        </w:rPr>
        <w:t>.</w:t>
      </w:r>
    </w:p>
    <w:p w:rsidR="00F87902" w:rsidRDefault="00F87902">
      <w:pPr>
        <w:pStyle w:val="Prrafodelista"/>
        <w:rPr>
          <w:rFonts w:ascii="Arial" w:hAnsi="Arial" w:cs="Arial"/>
          <w:sz w:val="22"/>
          <w:szCs w:val="22"/>
        </w:rPr>
      </w:pPr>
    </w:p>
    <w:p w:rsidR="00F87902" w:rsidRDefault="00A519F9">
      <w:pPr>
        <w:numPr>
          <w:ilvl w:val="0"/>
          <w:numId w:val="2"/>
        </w:numPr>
        <w:ind w:left="1068"/>
        <w:jc w:val="both"/>
      </w:pPr>
      <w:r>
        <w:rPr>
          <w:rFonts w:ascii="Arial" w:hAnsi="Arial" w:cs="Arial"/>
          <w:b/>
          <w:sz w:val="22"/>
          <w:szCs w:val="22"/>
        </w:rPr>
        <w:t>2 artículos</w:t>
      </w:r>
      <w:r>
        <w:rPr>
          <w:rFonts w:ascii="Arial" w:hAnsi="Arial" w:cs="Arial"/>
          <w:sz w:val="22"/>
          <w:szCs w:val="22"/>
        </w:rPr>
        <w:t xml:space="preserve"> de un investigador, profesor o extensionista publicados (100%), </w:t>
      </w:r>
      <w:r>
        <w:rPr>
          <w:rFonts w:ascii="Arial" w:hAnsi="Arial" w:cs="Arial"/>
          <w:b/>
          <w:sz w:val="22"/>
          <w:szCs w:val="22"/>
        </w:rPr>
        <w:t>2 artículos</w:t>
      </w:r>
      <w:r>
        <w:rPr>
          <w:rFonts w:ascii="Arial" w:hAnsi="Arial" w:cs="Arial"/>
          <w:sz w:val="22"/>
          <w:szCs w:val="22"/>
        </w:rPr>
        <w:t xml:space="preserve"> por número de académicos e investigadores latinoamericanos publicados, </w:t>
      </w:r>
      <w:r>
        <w:rPr>
          <w:rFonts w:ascii="Arial" w:hAnsi="Arial" w:cs="Arial"/>
          <w:b/>
          <w:sz w:val="22"/>
          <w:szCs w:val="22"/>
        </w:rPr>
        <w:t>4 asesorías</w:t>
      </w:r>
      <w:r>
        <w:rPr>
          <w:rFonts w:ascii="Arial" w:hAnsi="Arial" w:cs="Arial"/>
          <w:sz w:val="22"/>
          <w:szCs w:val="22"/>
        </w:rPr>
        <w:t xml:space="preserve"> desarrolladas (80%), </w:t>
      </w:r>
      <w:r>
        <w:rPr>
          <w:rFonts w:ascii="Arial" w:hAnsi="Arial" w:cs="Arial"/>
          <w:b/>
          <w:sz w:val="22"/>
          <w:szCs w:val="22"/>
        </w:rPr>
        <w:t>1 inventario</w:t>
      </w:r>
      <w:r>
        <w:rPr>
          <w:rFonts w:ascii="Arial" w:hAnsi="Arial" w:cs="Arial"/>
          <w:sz w:val="22"/>
          <w:szCs w:val="22"/>
        </w:rPr>
        <w:t xml:space="preserve"> de artículos evaluados (100%), </w:t>
      </w:r>
      <w:r>
        <w:rPr>
          <w:rFonts w:ascii="Arial" w:hAnsi="Arial" w:cs="Arial"/>
          <w:b/>
          <w:sz w:val="22"/>
          <w:szCs w:val="22"/>
        </w:rPr>
        <w:t>2 números</w:t>
      </w:r>
      <w:r>
        <w:rPr>
          <w:rFonts w:ascii="Arial" w:hAnsi="Arial" w:cs="Arial"/>
          <w:sz w:val="22"/>
          <w:szCs w:val="22"/>
        </w:rPr>
        <w:t xml:space="preserve"> de la revista ABRA publicados (100%), 10 intelectuales para formar el Consejo Científico Internacional, 14 integrantes nacionales en el comité editorial (100%); en el ámbito de la Facultad de Ciencias Sociales.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2 actividades </w:t>
      </w:r>
      <w:r>
        <w:rPr>
          <w:rFonts w:ascii="Arial" w:hAnsi="Arial" w:cs="Arial"/>
          <w:sz w:val="22"/>
          <w:szCs w:val="22"/>
        </w:rPr>
        <w:t xml:space="preserve">de este tipo en la Escuela de Historia: 1 número de la </w:t>
      </w:r>
      <w:r>
        <w:rPr>
          <w:rFonts w:ascii="Arial" w:hAnsi="Arial" w:cs="Arial"/>
          <w:i/>
          <w:sz w:val="22"/>
          <w:szCs w:val="22"/>
        </w:rPr>
        <w:t>Revista de Historia</w:t>
      </w:r>
      <w:r>
        <w:rPr>
          <w:rFonts w:ascii="Arial" w:hAnsi="Arial" w:cs="Arial"/>
          <w:sz w:val="22"/>
          <w:szCs w:val="22"/>
        </w:rPr>
        <w:t xml:space="preserve">, 1 número de la revista </w:t>
      </w:r>
      <w:r>
        <w:rPr>
          <w:rFonts w:ascii="Arial" w:hAnsi="Arial" w:cs="Arial"/>
          <w:i/>
          <w:sz w:val="22"/>
          <w:szCs w:val="22"/>
        </w:rPr>
        <w:t>Perspectivas</w:t>
      </w:r>
      <w:r>
        <w:rPr>
          <w:rFonts w:ascii="Arial" w:hAnsi="Arial" w:cs="Arial"/>
          <w:sz w:val="22"/>
          <w:szCs w:val="22"/>
        </w:rPr>
        <w:t xml:space="preserve">; 90%.       </w:t>
      </w:r>
    </w:p>
    <w:p w:rsidR="00F87902" w:rsidRDefault="00F87902">
      <w:pPr>
        <w:ind w:left="1068"/>
        <w:jc w:val="both"/>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4 ediciones</w:t>
      </w:r>
      <w:r>
        <w:rPr>
          <w:rFonts w:ascii="Arial" w:hAnsi="Arial" w:cs="Arial"/>
          <w:sz w:val="22"/>
          <w:szCs w:val="22"/>
        </w:rPr>
        <w:t xml:space="preserve"> de la revista </w:t>
      </w:r>
      <w:r>
        <w:rPr>
          <w:rFonts w:ascii="Arial" w:hAnsi="Arial" w:cs="Arial"/>
          <w:i/>
          <w:sz w:val="22"/>
          <w:szCs w:val="22"/>
        </w:rPr>
        <w:t>Ensayos Pedagógicos</w:t>
      </w:r>
      <w:r>
        <w:rPr>
          <w:rFonts w:ascii="Arial" w:hAnsi="Arial" w:cs="Arial"/>
          <w:sz w:val="22"/>
          <w:szCs w:val="22"/>
        </w:rPr>
        <w:t xml:space="preserve"> de la División de Educología del </w:t>
      </w:r>
      <w:r>
        <w:rPr>
          <w:rFonts w:ascii="Arial" w:hAnsi="Arial" w:cs="Arial"/>
          <w:i/>
          <w:sz w:val="22"/>
          <w:szCs w:val="22"/>
        </w:rPr>
        <w:t>CIDE:</w:t>
      </w:r>
      <w:r>
        <w:rPr>
          <w:rFonts w:ascii="Arial" w:hAnsi="Arial" w:cs="Arial"/>
          <w:sz w:val="22"/>
          <w:szCs w:val="22"/>
        </w:rPr>
        <w:t xml:space="preserve"> se supera la meta y se logra poner al día la periodicidad de la revista tanto en formato digital como impreso. De manera adicional se ha logrado un monográfico sobre redes sociales con la Universidad Veracruzana (más del 100% estimado). </w:t>
      </w:r>
    </w:p>
    <w:p w:rsidR="00F87902" w:rsidRDefault="00F87902">
      <w:pPr>
        <w:ind w:left="1068"/>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2.289 gestiones</w:t>
      </w:r>
      <w:r>
        <w:rPr>
          <w:rFonts w:ascii="Arial" w:hAnsi="Arial" w:cs="Arial"/>
          <w:sz w:val="22"/>
          <w:szCs w:val="22"/>
        </w:rPr>
        <w:t xml:space="preserve"> dirigidas a la población estudiantil universitaria del CIDE (100%).</w:t>
      </w:r>
    </w:p>
    <w:p w:rsidR="00F87902" w:rsidRDefault="00F87902">
      <w:pPr>
        <w:pStyle w:val="Prrafodelista"/>
        <w:ind w:left="1068"/>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22 artículos</w:t>
      </w:r>
      <w:r>
        <w:rPr>
          <w:rFonts w:ascii="Arial" w:hAnsi="Arial" w:cs="Arial"/>
          <w:sz w:val="22"/>
          <w:szCs w:val="22"/>
        </w:rPr>
        <w:t xml:space="preserve"> publicados en revistas científicas, </w:t>
      </w:r>
      <w:r>
        <w:rPr>
          <w:rFonts w:ascii="Arial" w:hAnsi="Arial" w:cs="Arial"/>
          <w:b/>
          <w:sz w:val="22"/>
          <w:szCs w:val="22"/>
        </w:rPr>
        <w:t>6 apoyos</w:t>
      </w:r>
      <w:r>
        <w:rPr>
          <w:rFonts w:ascii="Arial" w:hAnsi="Arial" w:cs="Arial"/>
          <w:sz w:val="22"/>
          <w:szCs w:val="22"/>
        </w:rPr>
        <w:t xml:space="preserve"> a personas académicas para estimular la difusión de los resultados de los PPAA, </w:t>
      </w:r>
      <w:r>
        <w:rPr>
          <w:rFonts w:ascii="Arial" w:hAnsi="Arial" w:cs="Arial"/>
          <w:b/>
          <w:sz w:val="22"/>
          <w:szCs w:val="22"/>
        </w:rPr>
        <w:t>31 piezas</w:t>
      </w:r>
      <w:r>
        <w:rPr>
          <w:rFonts w:ascii="Arial" w:hAnsi="Arial" w:cs="Arial"/>
          <w:sz w:val="22"/>
          <w:szCs w:val="22"/>
        </w:rPr>
        <w:t xml:space="preserve"> de material divulgativo (póster y ponencias); </w:t>
      </w:r>
      <w:r>
        <w:rPr>
          <w:rFonts w:ascii="Arial" w:hAnsi="Arial" w:cs="Arial"/>
          <w:b/>
          <w:sz w:val="22"/>
          <w:szCs w:val="22"/>
        </w:rPr>
        <w:t xml:space="preserve">2 volúmenes </w:t>
      </w:r>
      <w:r>
        <w:rPr>
          <w:rFonts w:ascii="Arial" w:hAnsi="Arial" w:cs="Arial"/>
          <w:sz w:val="22"/>
          <w:szCs w:val="22"/>
        </w:rPr>
        <w:t>en proceso de publicación de la</w:t>
      </w:r>
      <w:r>
        <w:rPr>
          <w:rFonts w:ascii="Arial" w:hAnsi="Arial" w:cs="Arial"/>
          <w:i/>
          <w:sz w:val="22"/>
          <w:szCs w:val="22"/>
        </w:rPr>
        <w:t xml:space="preserve">Revista Ciencias Veterinarias </w:t>
      </w:r>
      <w:r>
        <w:rPr>
          <w:rFonts w:ascii="Arial" w:hAnsi="Arial" w:cs="Arial"/>
          <w:sz w:val="22"/>
          <w:szCs w:val="22"/>
        </w:rPr>
        <w:t xml:space="preserve">y 6 artículos en revisión filológica, en el ámbito de la Escuela de Medicina Veterinaria (100%).   </w:t>
      </w:r>
    </w:p>
    <w:p w:rsidR="00F87902" w:rsidRDefault="00F87902">
      <w:pPr>
        <w:pStyle w:val="Prrafodelista"/>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5 acciones</w:t>
      </w:r>
      <w:r>
        <w:rPr>
          <w:rFonts w:ascii="Arial" w:hAnsi="Arial" w:cs="Arial"/>
          <w:sz w:val="22"/>
          <w:szCs w:val="22"/>
        </w:rPr>
        <w:t xml:space="preserve"> en pro de la divulgación del quehacer académico: fortalecimiento de la revista Movimiento Humano Salud (aumento carga académica); participación de personas académicas de la Escuela de Ciencias del Movimiento Humano y Calidad de Vida en el Congreso del Colegio Americano de Medicina Deportiva, XV Seminario Nacional y V Internacional de Investigación en Ciencias de la Actividad Física, y el XI Congreso Internacional sobre la Enseñanza de la Educación Física Deporte Escolar; 11 publicaciones en revistas indexadas; participación en la Expomotricidad 2015; redes sociales (100%).     </w:t>
      </w:r>
    </w:p>
    <w:p w:rsidR="00F87902" w:rsidRDefault="00F87902">
      <w:pPr>
        <w:pStyle w:val="Prrafodelista"/>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8 acciones de fortalecimiento</w:t>
      </w:r>
      <w:r>
        <w:rPr>
          <w:rFonts w:ascii="Arial" w:hAnsi="Arial" w:cs="Arial"/>
          <w:sz w:val="22"/>
          <w:szCs w:val="22"/>
        </w:rPr>
        <w:t xml:space="preserve"> de las revistas indexadas de la UNA, en el ámbito de la Dirección de Investigación: coordinación con la Vicerrectoría de Extensión para seguimiento a la construcción de un repositorio en </w:t>
      </w:r>
      <w:r>
        <w:rPr>
          <w:rFonts w:ascii="Arial" w:hAnsi="Arial" w:cs="Arial"/>
          <w:i/>
          <w:sz w:val="22"/>
          <w:szCs w:val="22"/>
        </w:rPr>
        <w:t>Conare</w:t>
      </w:r>
      <w:r>
        <w:rPr>
          <w:rFonts w:ascii="Arial" w:hAnsi="Arial" w:cs="Arial"/>
          <w:sz w:val="22"/>
          <w:szCs w:val="22"/>
        </w:rPr>
        <w:t xml:space="preserve"> y un </w:t>
      </w:r>
      <w:r>
        <w:rPr>
          <w:rFonts w:ascii="Arial" w:hAnsi="Arial" w:cs="Arial"/>
          <w:i/>
          <w:sz w:val="22"/>
          <w:szCs w:val="22"/>
        </w:rPr>
        <w:t>ConareIndex</w:t>
      </w:r>
      <w:r>
        <w:rPr>
          <w:rFonts w:ascii="Arial" w:hAnsi="Arial" w:cs="Arial"/>
          <w:sz w:val="22"/>
          <w:szCs w:val="22"/>
        </w:rPr>
        <w:t xml:space="preserve">; una reunión con editores y directores de revistas; 1 plan de capacitación; aplicación de la encuesta respecto de 24 revistas, para diagnóstico y actualización de base de datos de revistas institucionales (100%). </w:t>
      </w:r>
    </w:p>
    <w:p w:rsidR="00F87902" w:rsidRDefault="00F87902">
      <w:pPr>
        <w:pStyle w:val="Prrafodelista"/>
        <w:rPr>
          <w:rFonts w:ascii="Arial" w:hAnsi="Arial" w:cs="Arial"/>
          <w:color w:val="0070C0"/>
          <w:sz w:val="22"/>
          <w:szCs w:val="22"/>
        </w:rPr>
      </w:pPr>
    </w:p>
    <w:p w:rsidR="00F87902" w:rsidRDefault="00A519F9">
      <w:pPr>
        <w:pStyle w:val="Prrafodelista"/>
        <w:numPr>
          <w:ilvl w:val="0"/>
          <w:numId w:val="28"/>
        </w:numPr>
      </w:pPr>
      <w:r>
        <w:rPr>
          <w:rFonts w:ascii="Arial" w:hAnsi="Arial" w:cs="Arial"/>
          <w:b/>
          <w:sz w:val="22"/>
          <w:szCs w:val="22"/>
        </w:rPr>
        <w:t>5 acciones</w:t>
      </w:r>
      <w:r>
        <w:rPr>
          <w:rFonts w:ascii="Arial" w:hAnsi="Arial" w:cs="Arial"/>
          <w:sz w:val="22"/>
          <w:szCs w:val="22"/>
        </w:rPr>
        <w:t xml:space="preserve"> para visibilizar los resultados de la investigación de la UNA publicados en bases de datos científicas internacionales (50%): 1 análisis de las publicaciones en </w:t>
      </w:r>
      <w:r>
        <w:rPr>
          <w:rFonts w:ascii="Arial" w:hAnsi="Arial" w:cs="Arial"/>
          <w:i/>
          <w:sz w:val="22"/>
          <w:szCs w:val="22"/>
        </w:rPr>
        <w:t>Scopus</w:t>
      </w:r>
      <w:r>
        <w:rPr>
          <w:rFonts w:ascii="Arial" w:hAnsi="Arial" w:cs="Arial"/>
          <w:sz w:val="22"/>
          <w:szCs w:val="22"/>
        </w:rPr>
        <w:t xml:space="preserve"> mediante herramienta </w:t>
      </w:r>
      <w:r>
        <w:rPr>
          <w:rFonts w:ascii="Arial" w:hAnsi="Arial" w:cs="Arial"/>
          <w:i/>
          <w:sz w:val="22"/>
          <w:szCs w:val="22"/>
        </w:rPr>
        <w:t>Scival</w:t>
      </w:r>
      <w:r>
        <w:rPr>
          <w:rFonts w:ascii="Arial" w:hAnsi="Arial" w:cs="Arial"/>
          <w:sz w:val="22"/>
          <w:szCs w:val="22"/>
        </w:rPr>
        <w:t xml:space="preserve"> 1996-2014; 1 informe de resultados difundidos en revistas a través del portal, presentado a las direcciones de área; formulación e implementación del fondo para apoyo a la divulgación del conocimiento generado en la </w:t>
      </w:r>
      <w:r>
        <w:rPr>
          <w:rFonts w:ascii="Arial" w:hAnsi="Arial" w:cs="Arial"/>
          <w:sz w:val="22"/>
          <w:szCs w:val="22"/>
        </w:rPr>
        <w:lastRenderedPageBreak/>
        <w:t>UNA que busca apoyar la traducción y publicación en revistas indexadas (se ha apoyado la traducción de 18 artículos y la publicación de 4 artículos), 100%.</w:t>
      </w:r>
    </w:p>
    <w:p w:rsidR="00F87902" w:rsidRDefault="00F87902">
      <w:pPr>
        <w:pStyle w:val="Prrafodelista"/>
        <w:rPr>
          <w:rFonts w:ascii="Arial" w:hAnsi="Arial" w:cs="Arial"/>
          <w:sz w:val="22"/>
          <w:szCs w:val="22"/>
        </w:rPr>
      </w:pPr>
    </w:p>
    <w:p w:rsidR="00F87902" w:rsidRDefault="00A519F9">
      <w:pPr>
        <w:pStyle w:val="Prrafodelista"/>
        <w:numPr>
          <w:ilvl w:val="0"/>
          <w:numId w:val="28"/>
        </w:numPr>
        <w:rPr>
          <w:rFonts w:ascii="Arial" w:hAnsi="Arial" w:cs="Arial"/>
          <w:sz w:val="22"/>
          <w:szCs w:val="22"/>
        </w:rPr>
      </w:pPr>
      <w:r>
        <w:rPr>
          <w:rFonts w:ascii="Arial" w:hAnsi="Arial" w:cs="Arial"/>
          <w:b/>
          <w:sz w:val="22"/>
          <w:szCs w:val="22"/>
        </w:rPr>
        <w:t>2 publicaciones</w:t>
      </w:r>
      <w:r>
        <w:rPr>
          <w:rFonts w:ascii="Arial" w:hAnsi="Arial" w:cs="Arial"/>
          <w:sz w:val="22"/>
          <w:szCs w:val="22"/>
        </w:rPr>
        <w:t xml:space="preserve"> de la revista </w:t>
      </w:r>
      <w:r>
        <w:rPr>
          <w:rFonts w:ascii="Arial" w:hAnsi="Arial" w:cs="Arial"/>
          <w:i/>
          <w:sz w:val="22"/>
          <w:szCs w:val="22"/>
        </w:rPr>
        <w:t>Perspectivas rurales nueva época</w:t>
      </w:r>
      <w:r>
        <w:rPr>
          <w:rFonts w:ascii="Arial" w:hAnsi="Arial" w:cs="Arial"/>
          <w:sz w:val="22"/>
          <w:szCs w:val="22"/>
        </w:rPr>
        <w:t xml:space="preserve"> (números 23 y 24),  en el ámbito de la Escuela de Ciencias Agrarias (100%).</w:t>
      </w:r>
    </w:p>
    <w:p w:rsidR="00F87902" w:rsidRDefault="00F87902">
      <w:pPr>
        <w:pStyle w:val="Prrafodelista"/>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100% de logro</w:t>
      </w:r>
      <w:r>
        <w:rPr>
          <w:rFonts w:ascii="Arial" w:hAnsi="Arial" w:cs="Arial"/>
          <w:sz w:val="22"/>
          <w:szCs w:val="22"/>
        </w:rPr>
        <w:t xml:space="preserve"> en la ejecución del proyecto “Revista Praxis, Colección Prometeo y Hoja Filosófica”, en el ámbito de la Escuela de Filosofía. </w:t>
      </w:r>
    </w:p>
    <w:p w:rsidR="00F87902" w:rsidRDefault="00F87902">
      <w:pPr>
        <w:pStyle w:val="Prrafodelista"/>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4 materiales editados</w:t>
      </w:r>
      <w:r>
        <w:rPr>
          <w:rFonts w:ascii="Arial" w:hAnsi="Arial" w:cs="Arial"/>
          <w:sz w:val="22"/>
          <w:szCs w:val="22"/>
        </w:rPr>
        <w:t xml:space="preserve"> en el contexto del enriquecimiento de la producción académica de la Escuela Ecuménica de Ciencias de la Religión: edición y publicación del libro Desafíos Didácticos para la Enseñanza Religiosa (100%). </w:t>
      </w:r>
    </w:p>
    <w:p w:rsidR="00F87902" w:rsidRDefault="00F87902">
      <w:pPr>
        <w:pStyle w:val="Prrafodelista"/>
        <w:rPr>
          <w:rFonts w:ascii="Arial" w:hAnsi="Arial" w:cs="Arial"/>
          <w:sz w:val="22"/>
          <w:szCs w:val="22"/>
        </w:rPr>
      </w:pPr>
    </w:p>
    <w:p w:rsidR="00F87902" w:rsidRDefault="00A519F9">
      <w:pPr>
        <w:pStyle w:val="Prrafodelista"/>
        <w:numPr>
          <w:ilvl w:val="0"/>
          <w:numId w:val="28"/>
        </w:numPr>
        <w:rPr>
          <w:rFonts w:ascii="Arial" w:hAnsi="Arial" w:cs="Arial"/>
          <w:sz w:val="22"/>
          <w:szCs w:val="22"/>
        </w:rPr>
      </w:pPr>
      <w:r>
        <w:rPr>
          <w:rFonts w:ascii="Arial" w:hAnsi="Arial" w:cs="Arial"/>
          <w:b/>
          <w:sz w:val="22"/>
          <w:szCs w:val="22"/>
        </w:rPr>
        <w:t>4 publicaciones</w:t>
      </w:r>
      <w:r>
        <w:rPr>
          <w:rFonts w:ascii="Arial" w:hAnsi="Arial" w:cs="Arial"/>
          <w:sz w:val="22"/>
          <w:szCs w:val="22"/>
        </w:rPr>
        <w:t xml:space="preserve"> relacionadas con el quehacer de la Escuela de Literatura y Ciencias del Lenguaje: 2 números de la revista Letras y 2 libros “</w:t>
      </w:r>
      <w:r>
        <w:rPr>
          <w:rFonts w:ascii="Arial" w:hAnsi="Arial" w:cs="Arial"/>
          <w:i/>
          <w:sz w:val="22"/>
          <w:szCs w:val="22"/>
        </w:rPr>
        <w:t>Reachingyourgoals: tourism</w:t>
      </w:r>
      <w:r>
        <w:rPr>
          <w:rFonts w:ascii="Arial" w:hAnsi="Arial" w:cs="Arial"/>
          <w:sz w:val="22"/>
          <w:szCs w:val="22"/>
        </w:rPr>
        <w:t>y</w:t>
      </w:r>
      <w:r>
        <w:rPr>
          <w:rFonts w:ascii="Arial" w:hAnsi="Arial" w:cs="Arial"/>
          <w:i/>
          <w:sz w:val="22"/>
          <w:szCs w:val="22"/>
        </w:rPr>
        <w:t>ReachingyourGoals II</w:t>
      </w:r>
      <w:r>
        <w:rPr>
          <w:rFonts w:ascii="Arial" w:hAnsi="Arial" w:cs="Arial"/>
          <w:sz w:val="22"/>
          <w:szCs w:val="22"/>
        </w:rPr>
        <w:t>” (100%).</w:t>
      </w:r>
    </w:p>
    <w:p w:rsidR="00F87902" w:rsidRDefault="00F87902">
      <w:pPr>
        <w:pStyle w:val="Prrafodelista"/>
        <w:rPr>
          <w:rFonts w:ascii="Arial" w:hAnsi="Arial" w:cs="Arial"/>
          <w:sz w:val="22"/>
          <w:szCs w:val="22"/>
        </w:rPr>
      </w:pPr>
    </w:p>
    <w:p w:rsidR="00F87902" w:rsidRDefault="00A519F9">
      <w:pPr>
        <w:pStyle w:val="Prrafodelista"/>
        <w:numPr>
          <w:ilvl w:val="0"/>
          <w:numId w:val="28"/>
        </w:numPr>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ejecución de la fase formulada del proyecto Revista Repertorio Americano: números 23 y 24 en Publicaciones; </w:t>
      </w:r>
      <w:r>
        <w:rPr>
          <w:rFonts w:ascii="Arial" w:hAnsi="Arial" w:cs="Arial"/>
          <w:b/>
          <w:sz w:val="22"/>
          <w:szCs w:val="22"/>
        </w:rPr>
        <w:t>100% de logro</w:t>
      </w:r>
      <w:r>
        <w:rPr>
          <w:rFonts w:ascii="Arial" w:hAnsi="Arial" w:cs="Arial"/>
          <w:sz w:val="22"/>
          <w:szCs w:val="22"/>
        </w:rPr>
        <w:t xml:space="preserve"> en la ejecución de la fase formulada del proyecto Revista Temas de Nuestra América: número 57 diagramada y 58 en gestión editorial; </w:t>
      </w:r>
      <w:r>
        <w:rPr>
          <w:rFonts w:ascii="Arial" w:hAnsi="Arial" w:cs="Arial"/>
          <w:b/>
          <w:sz w:val="22"/>
          <w:szCs w:val="22"/>
        </w:rPr>
        <w:t>100% de logro</w:t>
      </w:r>
      <w:r>
        <w:rPr>
          <w:rFonts w:ascii="Arial" w:hAnsi="Arial" w:cs="Arial"/>
          <w:sz w:val="22"/>
          <w:szCs w:val="22"/>
        </w:rPr>
        <w:t xml:space="preserve"> en la ejecución de la fase formulada del proyecto Revista Latinoamericana de Derechos Humanos: número 26 en edición; todo en el ámbito del </w:t>
      </w:r>
      <w:r>
        <w:rPr>
          <w:rFonts w:ascii="Arial" w:hAnsi="Arial" w:cs="Arial"/>
          <w:i/>
          <w:sz w:val="22"/>
          <w:szCs w:val="22"/>
        </w:rPr>
        <w:t>Idela</w:t>
      </w:r>
      <w:r>
        <w:rPr>
          <w:rFonts w:ascii="Arial" w:hAnsi="Arial" w:cs="Arial"/>
          <w:sz w:val="22"/>
          <w:szCs w:val="22"/>
        </w:rPr>
        <w:t>.</w:t>
      </w:r>
    </w:p>
    <w:p w:rsidR="00F87902" w:rsidRDefault="00F87902">
      <w:pPr>
        <w:pStyle w:val="Prrafodelista"/>
        <w:rPr>
          <w:rFonts w:ascii="Arial" w:hAnsi="Arial" w:cs="Arial"/>
          <w:sz w:val="22"/>
          <w:szCs w:val="22"/>
        </w:rPr>
      </w:pPr>
    </w:p>
    <w:p w:rsidR="00F87902" w:rsidRDefault="00A519F9">
      <w:pPr>
        <w:pStyle w:val="Prrafodelista"/>
        <w:numPr>
          <w:ilvl w:val="0"/>
          <w:numId w:val="28"/>
        </w:numPr>
      </w:pPr>
      <w:r>
        <w:rPr>
          <w:rFonts w:ascii="Arial" w:hAnsi="Arial" w:cs="Arial"/>
          <w:b/>
          <w:sz w:val="22"/>
          <w:szCs w:val="22"/>
        </w:rPr>
        <w:t>100% de logro</w:t>
      </w:r>
      <w:r>
        <w:rPr>
          <w:rFonts w:ascii="Arial" w:hAnsi="Arial" w:cs="Arial"/>
          <w:sz w:val="22"/>
          <w:szCs w:val="22"/>
        </w:rPr>
        <w:t xml:space="preserve"> en la ejecución del proyecto Biblioteca Infantil Miriam Álvarez Brenes: 10 talleres para niños y niñas con edades de 4 a 12 años y 3 charlas; </w:t>
      </w:r>
      <w:r>
        <w:rPr>
          <w:rFonts w:ascii="Arial" w:hAnsi="Arial" w:cs="Arial"/>
          <w:b/>
          <w:sz w:val="22"/>
          <w:szCs w:val="22"/>
        </w:rPr>
        <w:t>100% de logro</w:t>
      </w:r>
      <w:r>
        <w:rPr>
          <w:rFonts w:ascii="Arial" w:hAnsi="Arial" w:cs="Arial"/>
          <w:sz w:val="22"/>
          <w:szCs w:val="22"/>
        </w:rPr>
        <w:t xml:space="preserve"> en la ejecución del proyecto Revista Bibliotecas: publicación del volumen 33, números 1 y 2, gestiones para incorporar la revista a </w:t>
      </w:r>
      <w:r>
        <w:rPr>
          <w:rFonts w:ascii="Arial" w:hAnsi="Arial" w:cs="Arial"/>
          <w:i/>
          <w:sz w:val="22"/>
          <w:szCs w:val="22"/>
        </w:rPr>
        <w:t>Infobila</w:t>
      </w:r>
      <w:r>
        <w:rPr>
          <w:rFonts w:ascii="Arial" w:hAnsi="Arial" w:cs="Arial"/>
          <w:sz w:val="22"/>
          <w:szCs w:val="22"/>
        </w:rPr>
        <w:t xml:space="preserve">, digitalización de revistas para cargar en página </w:t>
      </w:r>
      <w:r>
        <w:rPr>
          <w:rFonts w:ascii="Arial" w:hAnsi="Arial" w:cs="Arial"/>
          <w:i/>
          <w:sz w:val="22"/>
          <w:szCs w:val="22"/>
        </w:rPr>
        <w:t>web</w:t>
      </w:r>
      <w:r>
        <w:rPr>
          <w:rFonts w:ascii="Arial" w:hAnsi="Arial" w:cs="Arial"/>
          <w:sz w:val="22"/>
          <w:szCs w:val="22"/>
        </w:rPr>
        <w:t>, inventario de la revista, gestiones para captar nuevos autores, actualización de directorio de distribución con la inclusión de las bibliotecas públicas; todo lo anterior en el ámbito de la Escuela de Bibliotecología, Documentación e Información.</w:t>
      </w:r>
    </w:p>
    <w:p w:rsidR="00F87902" w:rsidRDefault="00F87902">
      <w:pPr>
        <w:spacing w:line="360" w:lineRule="auto"/>
        <w:ind w:left="709"/>
        <w:jc w:val="both"/>
        <w:rPr>
          <w:rFonts w:ascii="Arial" w:hAnsi="Arial" w:cs="Arial"/>
          <w:b/>
        </w:rPr>
      </w:pPr>
    </w:p>
    <w:p w:rsidR="00F87902" w:rsidRDefault="00F87902">
      <w:pPr>
        <w:spacing w:line="360" w:lineRule="auto"/>
        <w:ind w:left="709"/>
        <w:jc w:val="both"/>
        <w:rPr>
          <w:rFonts w:ascii="Arial" w:hAnsi="Arial" w:cs="Arial"/>
          <w:b/>
        </w:rPr>
      </w:pPr>
    </w:p>
    <w:p w:rsidR="00F87902" w:rsidRDefault="00A519F9">
      <w:pPr>
        <w:spacing w:line="360" w:lineRule="auto"/>
        <w:ind w:left="709"/>
        <w:jc w:val="both"/>
        <w:rPr>
          <w:rFonts w:ascii="Arial" w:hAnsi="Arial" w:cs="Arial"/>
          <w:b/>
          <w:i/>
          <w:color w:val="E36C0A" w:themeColor="accent6" w:themeShade="BF"/>
        </w:rPr>
      </w:pPr>
      <w:r>
        <w:rPr>
          <w:rFonts w:ascii="Arial" w:hAnsi="Arial" w:cs="Arial"/>
          <w:b/>
        </w:rPr>
        <w:t xml:space="preserve">Meta 3.5  Ejecutar 41 proyectos de producción académica y artística, o de una combinación de ambas.              </w:t>
      </w:r>
    </w:p>
    <w:p w:rsidR="00F87902" w:rsidRDefault="00F87902">
      <w:pPr>
        <w:ind w:left="709"/>
        <w:jc w:val="both"/>
        <w:rPr>
          <w:rFonts w:ascii="Arial" w:hAnsi="Arial" w:cs="Arial"/>
          <w:b/>
          <w:i/>
          <w:color w:val="E36C0A" w:themeColor="accent6" w:themeShade="BF"/>
          <w:sz w:val="22"/>
          <w:szCs w:val="22"/>
        </w:rPr>
      </w:pPr>
    </w:p>
    <w:p w:rsidR="00F87902" w:rsidRDefault="00A519F9">
      <w:pPr>
        <w:ind w:left="709"/>
        <w:jc w:val="both"/>
      </w:pPr>
      <w:r>
        <w:rPr>
          <w:rFonts w:ascii="Arial" w:hAnsi="Arial" w:cs="Arial"/>
          <w:sz w:val="22"/>
          <w:szCs w:val="22"/>
        </w:rPr>
        <w:t>Se han ejecutad</w:t>
      </w:r>
      <w:r>
        <w:rPr>
          <w:rFonts w:ascii="Arial" w:hAnsi="Arial" w:cs="Arial"/>
          <w:color w:val="auto"/>
          <w:sz w:val="22"/>
          <w:szCs w:val="22"/>
        </w:rPr>
        <w:t>o 19 proyectos de la naturaleza descrita en la meta, con diferentes grados de logro (</w:t>
      </w:r>
      <w:r>
        <w:rPr>
          <w:rFonts w:ascii="Arial" w:hAnsi="Arial" w:cs="Arial"/>
          <w:b/>
          <w:color w:val="auto"/>
          <w:sz w:val="22"/>
          <w:szCs w:val="22"/>
        </w:rPr>
        <w:t>50%</w:t>
      </w:r>
      <w:r>
        <w:rPr>
          <w:rFonts w:ascii="Arial" w:hAnsi="Arial" w:cs="Arial"/>
          <w:color w:val="auto"/>
          <w:sz w:val="22"/>
          <w:szCs w:val="22"/>
        </w:rPr>
        <w:t xml:space="preserve"> de cumplimiento), según el detalle que se muestra:     </w:t>
      </w:r>
    </w:p>
    <w:p w:rsidR="00F87902" w:rsidRDefault="00F87902">
      <w:pPr>
        <w:ind w:left="709"/>
        <w:jc w:val="right"/>
        <w:rPr>
          <w:rFonts w:ascii="Arial" w:hAnsi="Arial" w:cs="Arial"/>
          <w:color w:val="auto"/>
          <w:sz w:val="22"/>
          <w:szCs w:val="22"/>
        </w:rPr>
      </w:pPr>
    </w:p>
    <w:p w:rsidR="00F87902" w:rsidRDefault="00A519F9">
      <w:pPr>
        <w:pStyle w:val="Prrafodelista"/>
        <w:numPr>
          <w:ilvl w:val="0"/>
          <w:numId w:val="28"/>
        </w:numPr>
        <w:rPr>
          <w:rFonts w:ascii="Arial" w:hAnsi="Arial" w:cs="Arial"/>
          <w:sz w:val="22"/>
          <w:szCs w:val="22"/>
        </w:rPr>
      </w:pPr>
      <w:r>
        <w:rPr>
          <w:rFonts w:ascii="Arial" w:hAnsi="Arial" w:cs="Arial"/>
          <w:b/>
          <w:sz w:val="22"/>
          <w:szCs w:val="22"/>
        </w:rPr>
        <w:t>80% de avance</w:t>
      </w:r>
      <w:r>
        <w:rPr>
          <w:rFonts w:ascii="Arial" w:hAnsi="Arial" w:cs="Arial"/>
          <w:sz w:val="22"/>
          <w:szCs w:val="22"/>
        </w:rPr>
        <w:t xml:space="preserve"> en la sistematización sobre la gestión social en los proyectos hidroeléctricos: documento en redacción.</w:t>
      </w:r>
    </w:p>
    <w:p w:rsidR="00F87902" w:rsidRDefault="00F87902">
      <w:pPr>
        <w:pStyle w:val="Prrafodelista"/>
        <w:ind w:left="1068"/>
        <w:rPr>
          <w:rFonts w:ascii="Arial" w:hAnsi="Arial" w:cs="Arial"/>
          <w:sz w:val="22"/>
          <w:szCs w:val="22"/>
        </w:rPr>
      </w:pPr>
    </w:p>
    <w:p w:rsidR="00F87902" w:rsidRDefault="00A519F9">
      <w:pPr>
        <w:pStyle w:val="Prrafodelista"/>
        <w:numPr>
          <w:ilvl w:val="0"/>
          <w:numId w:val="28"/>
        </w:numPr>
        <w:rPr>
          <w:rFonts w:ascii="Arial" w:hAnsi="Arial" w:cs="Arial"/>
          <w:sz w:val="22"/>
          <w:szCs w:val="22"/>
        </w:rPr>
      </w:pPr>
      <w:r>
        <w:rPr>
          <w:rFonts w:ascii="Arial" w:hAnsi="Arial" w:cs="Arial"/>
          <w:b/>
          <w:sz w:val="22"/>
          <w:szCs w:val="22"/>
        </w:rPr>
        <w:t>93% de logro</w:t>
      </w:r>
      <w:r>
        <w:rPr>
          <w:rFonts w:ascii="Arial" w:hAnsi="Arial" w:cs="Arial"/>
          <w:sz w:val="22"/>
          <w:szCs w:val="22"/>
        </w:rPr>
        <w:t xml:space="preserve"> en la ejecución de actividades interdisciplinarias e interinstitucionales con la finalidad de beneficiar cíclicamente la biodiversidad marina: 30 actividades de educación ambiental dirigidas a jóvenes e infantes, a través de grupos organizados de centros académicos de la comunidad puntarenense y del Valle Central, enfocadas a los recursos marinos y costeros; recepción y educación de turistas nacionales e internacionales; asistencia técnica a una granja marina administrada por la Asociación de </w:t>
      </w:r>
      <w:r>
        <w:rPr>
          <w:rFonts w:ascii="Arial" w:hAnsi="Arial" w:cs="Arial"/>
          <w:sz w:val="22"/>
          <w:szCs w:val="22"/>
        </w:rPr>
        <w:lastRenderedPageBreak/>
        <w:t xml:space="preserve">Acuicultores de Paquera, en coordinación con el IMAS; trabajo cooperativo con la Universidad Católica del Norte de Chile mediante la Agencia de Cooperación de Chile, en la capacitación del personal del Parque Marino Pacífico para el mejoramiento en la producción de peces marinos; trabajo cooperativo con el </w:t>
      </w:r>
      <w:r>
        <w:rPr>
          <w:rFonts w:ascii="Arial" w:hAnsi="Arial" w:cs="Arial"/>
          <w:i/>
          <w:sz w:val="22"/>
          <w:szCs w:val="22"/>
        </w:rPr>
        <w:t>Georgia Sea Turtle Center</w:t>
      </w:r>
      <w:r>
        <w:rPr>
          <w:rFonts w:ascii="Arial" w:hAnsi="Arial" w:cs="Arial"/>
          <w:sz w:val="22"/>
          <w:szCs w:val="22"/>
        </w:rPr>
        <w:t xml:space="preserve"> en la implementación de dos talleres dirigidos a profesionales biólogos, veterinarios, docentes y técnicos en temas relacionados con la conservación de tortugas marinas.</w:t>
      </w:r>
    </w:p>
    <w:p w:rsidR="00F87902" w:rsidRDefault="00F87902">
      <w:pPr>
        <w:pStyle w:val="Prrafodelista"/>
        <w:rPr>
          <w:rFonts w:ascii="Arial" w:hAnsi="Arial" w:cs="Arial"/>
          <w:sz w:val="22"/>
          <w:szCs w:val="22"/>
        </w:rPr>
      </w:pPr>
    </w:p>
    <w:p w:rsidR="00F87902" w:rsidRPr="003668A3" w:rsidRDefault="00A519F9">
      <w:pPr>
        <w:pStyle w:val="Prrafodelista"/>
        <w:numPr>
          <w:ilvl w:val="0"/>
          <w:numId w:val="28"/>
        </w:numPr>
        <w:rPr>
          <w:rFonts w:ascii="Arial" w:hAnsi="Arial" w:cs="Arial"/>
          <w:sz w:val="22"/>
          <w:szCs w:val="22"/>
        </w:rPr>
      </w:pPr>
      <w:r>
        <w:rPr>
          <w:rFonts w:ascii="Arial" w:hAnsi="Arial" w:cs="Arial"/>
          <w:sz w:val="22"/>
          <w:szCs w:val="22"/>
        </w:rPr>
        <w:t xml:space="preserve">100% de logro en el mantenimiento de las condiciones necesarias para que los docentes puedan realizar las prácticas en la finca experimental Santa Lucía: prácticas de campo  (ecología agrícola, producción avícola, sistemas de producción porcina, ecología y biodiversidad agrícola, cultivos perennes, ecología de ciencias ambientales, fertilidad de suelos, principios de producción animal, forrajes, cultivos anuales, etc.); 4 proyectos de investigación (café, rumiantes menores, lechería vacuna, recursos fitogenéticos), realización de tesis de grado, efecto del compost en café; comercialización de pollos de engorde, huevos, lombricompost, hortalizas, etc. 100% en el mantenimiento de buena </w:t>
      </w:r>
      <w:r w:rsidRPr="003668A3">
        <w:rPr>
          <w:rFonts w:ascii="Arial" w:hAnsi="Arial" w:cs="Arial"/>
          <w:sz w:val="22"/>
          <w:szCs w:val="22"/>
        </w:rPr>
        <w:t xml:space="preserve">calidad de 5.000 plantas de café. 85% en los trabajos realizados en el comedor de trabajadores de la finca y estudiantes de la Escuela de Ciencias Agrarias; en lo referente a las actividades productivas de la finca Santa Lucía. </w:t>
      </w:r>
    </w:p>
    <w:p w:rsidR="00F87902" w:rsidRPr="003668A3" w:rsidRDefault="00F87902">
      <w:pPr>
        <w:jc w:val="both"/>
        <w:rPr>
          <w:rFonts w:ascii="Arial" w:hAnsi="Arial" w:cs="Arial"/>
        </w:rPr>
      </w:pPr>
    </w:p>
    <w:p w:rsidR="00F87902" w:rsidRDefault="00A519F9">
      <w:pPr>
        <w:ind w:left="1068"/>
        <w:jc w:val="both"/>
      </w:pPr>
      <w:r>
        <w:rPr>
          <w:rFonts w:ascii="Arial" w:hAnsi="Arial" w:cs="Arial"/>
          <w:i/>
          <w:sz w:val="22"/>
          <w:szCs w:val="22"/>
        </w:rPr>
        <w:t xml:space="preserve">La baja ejecución en la meta (77,1%) se debe a la no ejecución de ciertos proyectos de producción, así como a la existencia de procesos de licitación que generaron compromisos durante el 2015 y que serán ejecutados en el 2016. </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center"/>
        <w:rPr>
          <w:rFonts w:ascii="Arial" w:hAnsi="Arial" w:cs="Arial"/>
          <w:b/>
        </w:rPr>
      </w:pPr>
      <w:r>
        <w:rPr>
          <w:rFonts w:ascii="Arial" w:hAnsi="Arial" w:cs="Arial"/>
          <w:b/>
        </w:rPr>
        <w:t>CUADRO N°6</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rPr>
      </w:pPr>
    </w:p>
    <w:tbl>
      <w:tblPr>
        <w:tblW w:w="8720" w:type="dxa"/>
        <w:jc w:val="center"/>
        <w:tblBorders>
          <w:top w:val="single" w:sz="18" w:space="0" w:color="00000A"/>
        </w:tblBorders>
        <w:tblLook w:val="04A0"/>
      </w:tblPr>
      <w:tblGrid>
        <w:gridCol w:w="1390"/>
        <w:gridCol w:w="1505"/>
        <w:gridCol w:w="2392"/>
        <w:gridCol w:w="232"/>
        <w:gridCol w:w="1737"/>
        <w:gridCol w:w="1464"/>
      </w:tblGrid>
      <w:tr w:rsidR="00F87902">
        <w:trPr>
          <w:jc w:val="center"/>
        </w:trPr>
        <w:tc>
          <w:tcPr>
            <w:tcW w:w="1389"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97"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01"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89"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50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392"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37"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64"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89"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3.1</w:t>
            </w:r>
          </w:p>
        </w:tc>
        <w:tc>
          <w:tcPr>
            <w:tcW w:w="1505" w:type="dxa"/>
            <w:tcBorders>
              <w:top w:val="single" w:sz="12" w:space="0" w:color="00000A"/>
            </w:tcBorders>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3.740,0</w:t>
            </w:r>
          </w:p>
        </w:tc>
        <w:tc>
          <w:tcPr>
            <w:tcW w:w="2392" w:type="dxa"/>
            <w:tcBorders>
              <w:top w:val="single" w:sz="12" w:space="0" w:color="00000A"/>
            </w:tcBorders>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3.933,4</w:t>
            </w:r>
          </w:p>
        </w:tc>
        <w:tc>
          <w:tcPr>
            <w:tcW w:w="232"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37"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3.492,2</w:t>
            </w:r>
          </w:p>
        </w:tc>
        <w:tc>
          <w:tcPr>
            <w:tcW w:w="1464"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88,8%</w:t>
            </w:r>
          </w:p>
        </w:tc>
      </w:tr>
      <w:tr w:rsidR="00F87902">
        <w:trPr>
          <w:jc w:val="center"/>
        </w:trPr>
        <w:tc>
          <w:tcPr>
            <w:tcW w:w="1389" w:type="dxa"/>
            <w:shd w:val="clear" w:color="auto" w:fill="auto"/>
          </w:tcPr>
          <w:p w:rsidR="00F87902" w:rsidRDefault="00A519F9">
            <w:pPr>
              <w:jc w:val="center"/>
              <w:rPr>
                <w:rFonts w:ascii="Arial" w:hAnsi="Arial" w:cs="Arial"/>
                <w:b/>
                <w:sz w:val="20"/>
                <w:szCs w:val="20"/>
              </w:rPr>
            </w:pPr>
            <w:r>
              <w:rPr>
                <w:rFonts w:ascii="Arial" w:hAnsi="Arial" w:cs="Arial"/>
                <w:b/>
                <w:sz w:val="20"/>
                <w:szCs w:val="20"/>
              </w:rPr>
              <w:t>3.2</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708,1</w:t>
            </w:r>
          </w:p>
        </w:tc>
        <w:tc>
          <w:tcPr>
            <w:tcW w:w="2392"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948,8</w:t>
            </w:r>
          </w:p>
        </w:tc>
        <w:tc>
          <w:tcPr>
            <w:tcW w:w="232" w:type="dxa"/>
            <w:shd w:val="clear" w:color="auto" w:fill="auto"/>
          </w:tcPr>
          <w:p w:rsidR="00F87902" w:rsidRDefault="00F87902">
            <w:pPr>
              <w:jc w:val="center"/>
              <w:rPr>
                <w:rFonts w:ascii="Arial" w:hAnsi="Arial" w:cs="Arial"/>
                <w:color w:val="0070C0"/>
                <w:sz w:val="20"/>
                <w:szCs w:val="20"/>
              </w:rPr>
            </w:pPr>
          </w:p>
        </w:tc>
        <w:tc>
          <w:tcPr>
            <w:tcW w:w="1737"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761,7</w:t>
            </w:r>
          </w:p>
        </w:tc>
        <w:tc>
          <w:tcPr>
            <w:tcW w:w="1464"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80,3%</w:t>
            </w:r>
          </w:p>
        </w:tc>
      </w:tr>
      <w:tr w:rsidR="00F87902">
        <w:trPr>
          <w:jc w:val="center"/>
        </w:trPr>
        <w:tc>
          <w:tcPr>
            <w:tcW w:w="1389" w:type="dxa"/>
            <w:shd w:val="clear" w:color="auto" w:fill="auto"/>
          </w:tcPr>
          <w:p w:rsidR="00F87902" w:rsidRDefault="00A519F9">
            <w:pPr>
              <w:jc w:val="center"/>
              <w:rPr>
                <w:rFonts w:ascii="Arial" w:hAnsi="Arial" w:cs="Arial"/>
                <w:b/>
                <w:sz w:val="20"/>
                <w:szCs w:val="20"/>
              </w:rPr>
            </w:pPr>
            <w:r>
              <w:rPr>
                <w:rFonts w:ascii="Arial" w:hAnsi="Arial" w:cs="Arial"/>
                <w:b/>
                <w:sz w:val="20"/>
                <w:szCs w:val="20"/>
              </w:rPr>
              <w:t>3.3</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5.135,1</w:t>
            </w:r>
          </w:p>
        </w:tc>
        <w:tc>
          <w:tcPr>
            <w:tcW w:w="2392"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4.894,8</w:t>
            </w:r>
          </w:p>
        </w:tc>
        <w:tc>
          <w:tcPr>
            <w:tcW w:w="232" w:type="dxa"/>
            <w:shd w:val="clear" w:color="auto" w:fill="auto"/>
          </w:tcPr>
          <w:p w:rsidR="00F87902" w:rsidRDefault="00F87902">
            <w:pPr>
              <w:jc w:val="center"/>
              <w:rPr>
                <w:rFonts w:ascii="Arial" w:hAnsi="Arial" w:cs="Arial"/>
                <w:color w:val="0070C0"/>
                <w:sz w:val="20"/>
                <w:szCs w:val="20"/>
              </w:rPr>
            </w:pPr>
          </w:p>
        </w:tc>
        <w:tc>
          <w:tcPr>
            <w:tcW w:w="1737"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4.618,2</w:t>
            </w:r>
          </w:p>
        </w:tc>
        <w:tc>
          <w:tcPr>
            <w:tcW w:w="1464"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94,3%</w:t>
            </w:r>
          </w:p>
        </w:tc>
      </w:tr>
      <w:tr w:rsidR="00F87902">
        <w:trPr>
          <w:jc w:val="center"/>
        </w:trPr>
        <w:tc>
          <w:tcPr>
            <w:tcW w:w="1389" w:type="dxa"/>
            <w:shd w:val="clear" w:color="auto" w:fill="auto"/>
          </w:tcPr>
          <w:p w:rsidR="00F87902" w:rsidRDefault="00A519F9">
            <w:pPr>
              <w:jc w:val="center"/>
              <w:rPr>
                <w:rFonts w:ascii="Arial" w:hAnsi="Arial" w:cs="Arial"/>
                <w:b/>
                <w:sz w:val="20"/>
                <w:szCs w:val="20"/>
              </w:rPr>
            </w:pPr>
            <w:r>
              <w:rPr>
                <w:rFonts w:ascii="Arial" w:hAnsi="Arial" w:cs="Arial"/>
                <w:b/>
                <w:sz w:val="20"/>
                <w:szCs w:val="20"/>
              </w:rPr>
              <w:t>3.4</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567,5</w:t>
            </w:r>
          </w:p>
        </w:tc>
        <w:tc>
          <w:tcPr>
            <w:tcW w:w="2392"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593,1</w:t>
            </w:r>
          </w:p>
        </w:tc>
        <w:tc>
          <w:tcPr>
            <w:tcW w:w="232" w:type="dxa"/>
            <w:shd w:val="clear" w:color="auto" w:fill="auto"/>
          </w:tcPr>
          <w:p w:rsidR="00F87902" w:rsidRDefault="00F87902">
            <w:pPr>
              <w:jc w:val="center"/>
              <w:rPr>
                <w:rFonts w:ascii="Arial" w:hAnsi="Arial" w:cs="Arial"/>
                <w:color w:val="0070C0"/>
                <w:sz w:val="20"/>
                <w:szCs w:val="20"/>
              </w:rPr>
            </w:pPr>
          </w:p>
        </w:tc>
        <w:tc>
          <w:tcPr>
            <w:tcW w:w="1737"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528,6</w:t>
            </w:r>
          </w:p>
        </w:tc>
        <w:tc>
          <w:tcPr>
            <w:tcW w:w="1464"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89,1%</w:t>
            </w:r>
          </w:p>
        </w:tc>
      </w:tr>
      <w:tr w:rsidR="00F87902">
        <w:trPr>
          <w:jc w:val="center"/>
        </w:trPr>
        <w:tc>
          <w:tcPr>
            <w:tcW w:w="1389" w:type="dxa"/>
            <w:shd w:val="clear" w:color="auto" w:fill="auto"/>
          </w:tcPr>
          <w:p w:rsidR="00F87902" w:rsidRDefault="00A519F9">
            <w:pPr>
              <w:jc w:val="center"/>
              <w:rPr>
                <w:rFonts w:ascii="Arial" w:hAnsi="Arial" w:cs="Arial"/>
                <w:b/>
                <w:sz w:val="20"/>
                <w:szCs w:val="20"/>
              </w:rPr>
            </w:pPr>
            <w:r>
              <w:rPr>
                <w:rFonts w:ascii="Arial" w:hAnsi="Arial" w:cs="Arial"/>
                <w:b/>
                <w:sz w:val="20"/>
                <w:szCs w:val="20"/>
              </w:rPr>
              <w:t>3.5</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415,1</w:t>
            </w:r>
          </w:p>
        </w:tc>
        <w:tc>
          <w:tcPr>
            <w:tcW w:w="2392"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500,7</w:t>
            </w:r>
          </w:p>
        </w:tc>
        <w:tc>
          <w:tcPr>
            <w:tcW w:w="232" w:type="dxa"/>
            <w:shd w:val="clear" w:color="auto" w:fill="auto"/>
          </w:tcPr>
          <w:p w:rsidR="00F87902" w:rsidRDefault="00F87902">
            <w:pPr>
              <w:jc w:val="center"/>
              <w:rPr>
                <w:rFonts w:ascii="Arial" w:hAnsi="Arial" w:cs="Arial"/>
                <w:color w:val="0070C0"/>
                <w:sz w:val="20"/>
                <w:szCs w:val="20"/>
              </w:rPr>
            </w:pPr>
          </w:p>
        </w:tc>
        <w:tc>
          <w:tcPr>
            <w:tcW w:w="1737"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385,9</w:t>
            </w:r>
          </w:p>
        </w:tc>
        <w:tc>
          <w:tcPr>
            <w:tcW w:w="1464"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77,1%</w:t>
            </w:r>
          </w:p>
        </w:tc>
      </w:tr>
      <w:tr w:rsidR="00F87902">
        <w:trPr>
          <w:trHeight w:val="156"/>
          <w:jc w:val="center"/>
        </w:trPr>
        <w:tc>
          <w:tcPr>
            <w:tcW w:w="1389" w:type="dxa"/>
            <w:shd w:val="clear" w:color="auto" w:fill="auto"/>
          </w:tcPr>
          <w:p w:rsidR="00F87902" w:rsidRDefault="00F87902">
            <w:pPr>
              <w:jc w:val="center"/>
              <w:rPr>
                <w:rFonts w:ascii="Arial" w:hAnsi="Arial" w:cs="Arial"/>
                <w:b/>
                <w:sz w:val="20"/>
                <w:szCs w:val="20"/>
              </w:rPr>
            </w:pPr>
          </w:p>
        </w:tc>
        <w:tc>
          <w:tcPr>
            <w:tcW w:w="1505" w:type="dxa"/>
            <w:shd w:val="clear" w:color="auto" w:fill="auto"/>
          </w:tcPr>
          <w:p w:rsidR="00F87902" w:rsidRDefault="00F87902">
            <w:pPr>
              <w:ind w:left="283" w:right="227"/>
              <w:jc w:val="center"/>
              <w:rPr>
                <w:rFonts w:ascii="Arial" w:hAnsi="Arial" w:cs="Arial"/>
                <w:bCs/>
                <w:sz w:val="20"/>
                <w:szCs w:val="20"/>
              </w:rPr>
            </w:pPr>
          </w:p>
        </w:tc>
        <w:tc>
          <w:tcPr>
            <w:tcW w:w="2392" w:type="dxa"/>
            <w:shd w:val="clear" w:color="auto" w:fill="auto"/>
          </w:tcPr>
          <w:p w:rsidR="00F87902" w:rsidRDefault="00F87902">
            <w:pPr>
              <w:ind w:left="283" w:right="907"/>
              <w:jc w:val="right"/>
              <w:rPr>
                <w:rFonts w:ascii="Arial" w:hAnsi="Arial" w:cs="Arial"/>
                <w:sz w:val="20"/>
                <w:szCs w:val="20"/>
              </w:rPr>
            </w:pPr>
          </w:p>
        </w:tc>
        <w:tc>
          <w:tcPr>
            <w:tcW w:w="232" w:type="dxa"/>
            <w:shd w:val="clear" w:color="auto" w:fill="auto"/>
          </w:tcPr>
          <w:p w:rsidR="00F87902" w:rsidRDefault="00F87902">
            <w:pPr>
              <w:jc w:val="center"/>
              <w:rPr>
                <w:rFonts w:ascii="Arial" w:hAnsi="Arial" w:cs="Arial"/>
                <w:color w:val="0070C0"/>
                <w:sz w:val="20"/>
                <w:szCs w:val="20"/>
              </w:rPr>
            </w:pPr>
          </w:p>
        </w:tc>
        <w:tc>
          <w:tcPr>
            <w:tcW w:w="1737" w:type="dxa"/>
            <w:shd w:val="clear" w:color="auto" w:fill="auto"/>
          </w:tcPr>
          <w:p w:rsidR="00F87902" w:rsidRDefault="00F87902">
            <w:pPr>
              <w:ind w:left="283" w:right="397"/>
              <w:jc w:val="right"/>
              <w:rPr>
                <w:rFonts w:ascii="Arial" w:hAnsi="Arial" w:cs="Arial"/>
                <w:sz w:val="20"/>
                <w:szCs w:val="20"/>
              </w:rPr>
            </w:pPr>
          </w:p>
        </w:tc>
        <w:tc>
          <w:tcPr>
            <w:tcW w:w="1464" w:type="dxa"/>
            <w:shd w:val="clear" w:color="auto" w:fill="auto"/>
          </w:tcPr>
          <w:p w:rsidR="00F87902" w:rsidRDefault="00F87902">
            <w:pPr>
              <w:ind w:left="283" w:right="397"/>
              <w:jc w:val="center"/>
              <w:rPr>
                <w:rFonts w:ascii="Arial" w:hAnsi="Arial" w:cs="Arial"/>
                <w:sz w:val="20"/>
                <w:szCs w:val="20"/>
              </w:rPr>
            </w:pPr>
          </w:p>
        </w:tc>
      </w:tr>
      <w:tr w:rsidR="00F87902">
        <w:trPr>
          <w:jc w:val="center"/>
        </w:trPr>
        <w:tc>
          <w:tcPr>
            <w:tcW w:w="1389"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3</w:t>
            </w:r>
          </w:p>
        </w:tc>
        <w:tc>
          <w:tcPr>
            <w:tcW w:w="1505"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10.565,9</w:t>
            </w:r>
          </w:p>
        </w:tc>
        <w:tc>
          <w:tcPr>
            <w:tcW w:w="2392"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10.870,8</w:t>
            </w:r>
          </w:p>
        </w:tc>
        <w:tc>
          <w:tcPr>
            <w:tcW w:w="232"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737"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9.786,6</w:t>
            </w:r>
          </w:p>
        </w:tc>
        <w:tc>
          <w:tcPr>
            <w:tcW w:w="1464"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90,0%</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26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i/>
          <w:sz w:val="18"/>
          <w:szCs w:val="18"/>
        </w:rPr>
      </w:pPr>
    </w:p>
    <w:p w:rsidR="00F87902" w:rsidRDefault="00F87902">
      <w:pPr>
        <w:spacing w:line="360" w:lineRule="auto"/>
        <w:jc w:val="both"/>
        <w:rPr>
          <w:rFonts w:ascii="Arial" w:hAnsi="Arial" w:cs="Arial"/>
          <w:b/>
          <w:color w:val="0070C0"/>
        </w:rPr>
      </w:pPr>
    </w:p>
    <w:p w:rsidR="00F87902" w:rsidRDefault="00A519F9">
      <w:pPr>
        <w:spacing w:line="360" w:lineRule="auto"/>
        <w:jc w:val="both"/>
        <w:rPr>
          <w:rFonts w:ascii="Arial" w:hAnsi="Arial" w:cs="Arial"/>
          <w:b/>
        </w:rPr>
      </w:pPr>
      <w:r>
        <w:rPr>
          <w:rFonts w:ascii="Arial" w:hAnsi="Arial" w:cs="Arial"/>
          <w:b/>
        </w:rPr>
        <w:lastRenderedPageBreak/>
        <w:t>OBJETIVO 4.   Fomentar el desarrollo regional mediante la atracción de estudiantes en las sedes de la Universidad Nacional y el desarrollo de actividades de impacto regional.</w:t>
      </w: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4.1 Matricular 4.277 estudiantes en las sedes regionales (1.717 en la Chorotega, 1.498 en la Brunca, 687 en Alajuela y 375 en Sarapiquí). </w:t>
      </w:r>
    </w:p>
    <w:p w:rsidR="006D52EA" w:rsidRDefault="006D52EA">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corresponde al </w:t>
      </w:r>
      <w:r>
        <w:rPr>
          <w:rFonts w:ascii="Arial" w:hAnsi="Arial" w:cs="Arial"/>
          <w:b/>
          <w:sz w:val="22"/>
          <w:szCs w:val="22"/>
        </w:rPr>
        <w:t>96,7%</w:t>
      </w:r>
      <w:r>
        <w:rPr>
          <w:rFonts w:ascii="Arial" w:hAnsi="Arial" w:cs="Arial"/>
          <w:sz w:val="22"/>
          <w:szCs w:val="22"/>
        </w:rPr>
        <w:t xml:space="preserve">. El detalle de las actividades ejecutadas se muestra a continuación:           </w:t>
      </w:r>
    </w:p>
    <w:p w:rsidR="00F87902" w:rsidRDefault="00F87902">
      <w:pPr>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4.136 estudiantes matriculados</w:t>
      </w:r>
      <w:r>
        <w:rPr>
          <w:rFonts w:ascii="Arial" w:hAnsi="Arial" w:cs="Arial"/>
        </w:rPr>
        <w:t>–</w:t>
      </w:r>
      <w:r>
        <w:rPr>
          <w:rFonts w:ascii="Arial" w:hAnsi="Arial" w:cs="Arial"/>
          <w:sz w:val="22"/>
          <w:szCs w:val="22"/>
        </w:rPr>
        <w:t>corte al 8 de diciembre del 2015</w:t>
      </w:r>
      <w:r>
        <w:rPr>
          <w:rFonts w:ascii="Arial" w:hAnsi="Arial" w:cs="Arial"/>
        </w:rPr>
        <w:t xml:space="preserve">– </w:t>
      </w:r>
      <w:r>
        <w:rPr>
          <w:rFonts w:ascii="Arial" w:hAnsi="Arial" w:cs="Arial"/>
          <w:sz w:val="22"/>
          <w:szCs w:val="22"/>
        </w:rPr>
        <w:t>en sedes regionales (Chorotega, Brunca, Sarapiquí, Interuniversitaria de Alajuela), lo cual representa un 96,7% del total estimado en la formulación.</w:t>
      </w:r>
    </w:p>
    <w:p w:rsidR="00F87902" w:rsidRDefault="00F87902">
      <w:pPr>
        <w:ind w:left="1068"/>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sz w:val="22"/>
          <w:szCs w:val="22"/>
        </w:rPr>
        <w:t>En materia conexa a la matrícula estudiantil en las sedes regionales se han desarrollado las siguientes actividades:</w:t>
      </w:r>
    </w:p>
    <w:p w:rsidR="00F87902" w:rsidRDefault="00F87902">
      <w:pPr>
        <w:pStyle w:val="Prrafodelista"/>
        <w:rPr>
          <w:rFonts w:ascii="Arial" w:hAnsi="Arial" w:cs="Arial"/>
          <w:sz w:val="22"/>
          <w:szCs w:val="22"/>
        </w:rPr>
      </w:pPr>
    </w:p>
    <w:p w:rsidR="00F87902" w:rsidRDefault="00A519F9">
      <w:pPr>
        <w:numPr>
          <w:ilvl w:val="1"/>
          <w:numId w:val="2"/>
        </w:numPr>
        <w:jc w:val="both"/>
        <w:rPr>
          <w:rFonts w:ascii="Arial" w:hAnsi="Arial" w:cs="Arial"/>
          <w:sz w:val="22"/>
          <w:szCs w:val="22"/>
        </w:rPr>
      </w:pPr>
      <w:r>
        <w:rPr>
          <w:rFonts w:ascii="Arial" w:hAnsi="Arial" w:cs="Arial"/>
          <w:sz w:val="22"/>
          <w:szCs w:val="22"/>
        </w:rPr>
        <w:t>1 plan de capacitación que contempla al personal académico y al administrativo de la Sede Interuniversitaria de Alajuela (100%).</w:t>
      </w:r>
    </w:p>
    <w:p w:rsidR="00F87902" w:rsidRDefault="00A519F9">
      <w:pPr>
        <w:numPr>
          <w:ilvl w:val="1"/>
          <w:numId w:val="2"/>
        </w:numPr>
        <w:jc w:val="both"/>
        <w:rPr>
          <w:rFonts w:ascii="Arial" w:hAnsi="Arial" w:cs="Arial"/>
          <w:sz w:val="22"/>
          <w:szCs w:val="22"/>
        </w:rPr>
      </w:pPr>
      <w:r>
        <w:rPr>
          <w:rFonts w:ascii="Arial" w:hAnsi="Arial" w:cs="Arial"/>
          <w:sz w:val="22"/>
          <w:szCs w:val="22"/>
        </w:rPr>
        <w:t xml:space="preserve">211 estudiantes de nuevo ingreso admitidos en la Sede Interuniversitaria de Alajuela, con lo cual la admisión real superó en 66 estudiantes la estimada; 71 estudiantes graduados entre las carreras impartidas que cuentan con el 4° nivel en el año 2014 (más del 100% estimado); 1 nueva carrera incluida como parte de la oferta académica: Licenciatura en Informática con énfasis en Programación </w:t>
      </w:r>
      <w:r>
        <w:rPr>
          <w:rFonts w:ascii="Arial" w:hAnsi="Arial" w:cs="Arial"/>
          <w:i/>
          <w:sz w:val="22"/>
          <w:szCs w:val="22"/>
        </w:rPr>
        <w:t>web</w:t>
      </w:r>
      <w:r>
        <w:rPr>
          <w:rFonts w:ascii="Arial" w:hAnsi="Arial" w:cs="Arial"/>
          <w:sz w:val="22"/>
          <w:szCs w:val="22"/>
        </w:rPr>
        <w:t xml:space="preserve"> (100%); 33 cursos de educación permanente en el área de inglés (más del 100% estimado); 4 carreras ofertadas en coordinación con las unidades académicas (Ingeniería en Sistemas de Información, Bachillerato en Inglés, Bachillerato en Administración, Bachillerato en Química Industrial con énfasis en Agroindustria), 100%.</w:t>
      </w:r>
    </w:p>
    <w:p w:rsidR="00F87902" w:rsidRDefault="00A519F9">
      <w:pPr>
        <w:numPr>
          <w:ilvl w:val="1"/>
          <w:numId w:val="2"/>
        </w:numPr>
        <w:jc w:val="both"/>
        <w:rPr>
          <w:rFonts w:ascii="Arial" w:hAnsi="Arial" w:cs="Arial"/>
          <w:sz w:val="22"/>
          <w:szCs w:val="22"/>
        </w:rPr>
      </w:pPr>
      <w:r>
        <w:rPr>
          <w:rFonts w:ascii="Arial" w:hAnsi="Arial" w:cs="Arial"/>
          <w:sz w:val="22"/>
          <w:szCs w:val="22"/>
        </w:rPr>
        <w:t>100% de avance en lo que respecta al involucramiento del personal de las oficinas de registro, admisión, vida estudiantil y académico (orientadores vocacionales) en las giras a los territorios indígenas sobre los PPAA.</w:t>
      </w:r>
    </w:p>
    <w:p w:rsidR="00F87902" w:rsidRDefault="00A519F9">
      <w:pPr>
        <w:numPr>
          <w:ilvl w:val="1"/>
          <w:numId w:val="2"/>
        </w:numPr>
        <w:jc w:val="both"/>
        <w:rPr>
          <w:rFonts w:ascii="Arial" w:hAnsi="Arial" w:cs="Arial"/>
          <w:sz w:val="22"/>
          <w:szCs w:val="22"/>
        </w:rPr>
      </w:pPr>
      <w:r>
        <w:rPr>
          <w:rFonts w:ascii="Arial" w:hAnsi="Arial" w:cs="Arial"/>
          <w:sz w:val="22"/>
          <w:szCs w:val="22"/>
        </w:rPr>
        <w:t>100% de logro en el aporte al cumplimiento de los lineamientos y procedimientos establecidos para el desarrollo de proyectos o iniciativas locales desde las sedes y los recintos regionales.</w:t>
      </w:r>
    </w:p>
    <w:p w:rsidR="00F87902" w:rsidRDefault="00A519F9">
      <w:pPr>
        <w:numPr>
          <w:ilvl w:val="1"/>
          <w:numId w:val="2"/>
        </w:numPr>
        <w:jc w:val="both"/>
        <w:rPr>
          <w:rFonts w:ascii="Arial" w:hAnsi="Arial" w:cs="Arial"/>
          <w:sz w:val="22"/>
          <w:szCs w:val="22"/>
        </w:rPr>
      </w:pPr>
      <w:r>
        <w:rPr>
          <w:rFonts w:ascii="Arial" w:hAnsi="Arial" w:cs="Arial"/>
          <w:sz w:val="22"/>
          <w:szCs w:val="22"/>
        </w:rPr>
        <w:t>100% de logro en la facilitación del contacto de estudiantes activos de territorios indígenas y estudiantes de nuevo ingreso. Se cuenta con una red activa de estudiantes indígenas de la UNA que busca fomentar el contacto y la organización de nuevas actividades.</w:t>
      </w:r>
    </w:p>
    <w:p w:rsidR="00F87902" w:rsidRDefault="00A519F9">
      <w:pPr>
        <w:numPr>
          <w:ilvl w:val="1"/>
          <w:numId w:val="2"/>
        </w:numPr>
        <w:jc w:val="both"/>
        <w:rPr>
          <w:rFonts w:ascii="Arial" w:hAnsi="Arial" w:cs="Arial"/>
          <w:sz w:val="22"/>
          <w:szCs w:val="22"/>
        </w:rPr>
      </w:pPr>
      <w:r>
        <w:rPr>
          <w:rFonts w:ascii="Arial" w:hAnsi="Arial" w:cs="Arial"/>
          <w:sz w:val="22"/>
          <w:szCs w:val="22"/>
        </w:rPr>
        <w:t>50% de avance en la creación del Centro de Investigación, Extensión y Producción Universidad Nacional sede regional Brunca (Ciepuna): en etapa de aprobación; 100% de avance en la creación de PPAA en investigación y extensión, por ejemplo “Promoviendo el capital social comunitario en el cantón de Osa”.</w:t>
      </w:r>
    </w:p>
    <w:p w:rsidR="00F87902" w:rsidRDefault="00A519F9">
      <w:pPr>
        <w:numPr>
          <w:ilvl w:val="1"/>
          <w:numId w:val="2"/>
        </w:numPr>
        <w:jc w:val="both"/>
        <w:rPr>
          <w:rFonts w:ascii="Arial" w:hAnsi="Arial" w:cs="Arial"/>
          <w:sz w:val="22"/>
          <w:szCs w:val="22"/>
        </w:rPr>
      </w:pPr>
      <w:r>
        <w:rPr>
          <w:rFonts w:ascii="Arial" w:hAnsi="Arial" w:cs="Arial"/>
          <w:sz w:val="22"/>
          <w:szCs w:val="22"/>
        </w:rPr>
        <w:t xml:space="preserve">10 académicos con participación en eventos internacionales, en el marco de la promoción del desarrollo profesional de los académicos de la sede para fortalecer el desempeño y la calidad académica (100%); 1 plan de al menos 4 </w:t>
      </w:r>
      <w:r>
        <w:rPr>
          <w:rFonts w:ascii="Arial" w:hAnsi="Arial" w:cs="Arial"/>
          <w:sz w:val="22"/>
          <w:szCs w:val="22"/>
        </w:rPr>
        <w:lastRenderedPageBreak/>
        <w:t>actividades de interacción académica (100%). Adicionalmente, 100% de logro en lo referente a la participación de estudiantes en la ejecución de proyectos de investigación, extensión y docencia, con el propósito de fortalecer su proceso de formación; 1 feria de emprendedores con el propósito de incentivar una cultura de empresarialidad entre los estudiantes (100%), orientado al fortalecimiento de la oferta académica y los planes de estudio de la sede regional Chorotega; 100% de logro en la actualización de la normativa y los procedimientos sobre los trabajos finales de graduación: la comisión de TFG se encuentra actualizando la normativa, de lo que se cuenta con un documento base; 1 actividad académica organizada, con la participación de empresarios y representantes de entidades públicas como insumo de percepción del quehacer de la sede: 3 actividades de vinculación con empresarios y representantes de entidades públicas, con el propósito de fortalecer el posicionamiento de impacto de la sede en la región (100%); 1 diagnóstico regional para determinar demandas regionales de formación, investigación y extensión; 4 actividades académicas relacionadas con las áreas de conocimiento de la sede y de interés local y regional, en temas relacionados con la mitigación del calentamiento global (100%).</w:t>
      </w:r>
    </w:p>
    <w:p w:rsidR="00F87902" w:rsidRDefault="00F87902">
      <w:pPr>
        <w:ind w:left="1068"/>
        <w:jc w:val="both"/>
        <w:rPr>
          <w:rFonts w:ascii="Arial" w:hAnsi="Arial" w:cs="Arial"/>
          <w:sz w:val="22"/>
          <w:szCs w:val="22"/>
        </w:rPr>
      </w:pPr>
    </w:p>
    <w:p w:rsidR="00F87902" w:rsidRDefault="00F87902">
      <w:pPr>
        <w:ind w:left="1068"/>
        <w:jc w:val="both"/>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CUADRO N°7</w:t>
      </w:r>
    </w:p>
    <w:p w:rsidR="00F87902" w:rsidRDefault="00F87902">
      <w:pPr>
        <w:jc w:val="center"/>
        <w:rPr>
          <w:rFonts w:ascii="Arial" w:hAnsi="Arial" w:cs="Arial"/>
          <w:b/>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u w:val="single"/>
        </w:rPr>
      </w:pPr>
    </w:p>
    <w:tbl>
      <w:tblPr>
        <w:tblW w:w="8720" w:type="dxa"/>
        <w:jc w:val="center"/>
        <w:tblBorders>
          <w:top w:val="single" w:sz="18" w:space="0" w:color="00000A"/>
        </w:tblBorders>
        <w:tblLook w:val="04A0"/>
      </w:tblPr>
      <w:tblGrid>
        <w:gridCol w:w="1421"/>
        <w:gridCol w:w="1306"/>
        <w:gridCol w:w="2480"/>
        <w:gridCol w:w="236"/>
        <w:gridCol w:w="1813"/>
        <w:gridCol w:w="1464"/>
      </w:tblGrid>
      <w:tr w:rsidR="00F87902">
        <w:trPr>
          <w:jc w:val="center"/>
        </w:trPr>
        <w:tc>
          <w:tcPr>
            <w:tcW w:w="1420"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786"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6" w:type="dxa"/>
            <w:tcBorders>
              <w:top w:val="single" w:sz="18" w:space="0" w:color="00000A"/>
            </w:tcBorders>
            <w:shd w:val="clear" w:color="auto" w:fill="auto"/>
          </w:tcPr>
          <w:p w:rsidR="00F87902" w:rsidRDefault="00F87902">
            <w:pPr>
              <w:jc w:val="center"/>
              <w:rPr>
                <w:rFonts w:ascii="Arial" w:hAnsi="Arial" w:cs="Arial"/>
                <w:b/>
              </w:rPr>
            </w:pPr>
          </w:p>
        </w:tc>
        <w:tc>
          <w:tcPr>
            <w:tcW w:w="3277"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20"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30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80"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6"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813"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64"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20"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4.1</w:t>
            </w:r>
          </w:p>
        </w:tc>
        <w:tc>
          <w:tcPr>
            <w:tcW w:w="1306" w:type="dxa"/>
            <w:tcBorders>
              <w:top w:val="single" w:sz="12" w:space="0" w:color="00000A"/>
            </w:tcBorders>
            <w:shd w:val="clear" w:color="auto" w:fill="auto"/>
            <w:vAlign w:val="bottom"/>
          </w:tcPr>
          <w:p w:rsidR="00F87902" w:rsidRDefault="00A519F9">
            <w:pPr>
              <w:jc w:val="right"/>
              <w:rPr>
                <w:rFonts w:ascii="Arial" w:hAnsi="Arial" w:cs="Arial"/>
                <w:sz w:val="20"/>
                <w:szCs w:val="20"/>
              </w:rPr>
            </w:pPr>
            <w:r>
              <w:rPr>
                <w:rFonts w:ascii="Arial" w:hAnsi="Arial" w:cs="Arial"/>
                <w:sz w:val="20"/>
                <w:szCs w:val="20"/>
              </w:rPr>
              <w:t>7.206,0</w:t>
            </w:r>
          </w:p>
        </w:tc>
        <w:tc>
          <w:tcPr>
            <w:tcW w:w="2480" w:type="dxa"/>
            <w:tcBorders>
              <w:top w:val="single" w:sz="12" w:space="0" w:color="00000A"/>
            </w:tcBorders>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8.022,6</w:t>
            </w:r>
          </w:p>
        </w:tc>
        <w:tc>
          <w:tcPr>
            <w:tcW w:w="236"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813"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6.798,3</w:t>
            </w:r>
          </w:p>
        </w:tc>
        <w:tc>
          <w:tcPr>
            <w:tcW w:w="1464"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84,7%</w:t>
            </w:r>
          </w:p>
        </w:tc>
      </w:tr>
      <w:tr w:rsidR="00F87902">
        <w:trPr>
          <w:jc w:val="center"/>
        </w:trPr>
        <w:tc>
          <w:tcPr>
            <w:tcW w:w="1420" w:type="dxa"/>
            <w:shd w:val="clear" w:color="auto" w:fill="auto"/>
          </w:tcPr>
          <w:p w:rsidR="00F87902" w:rsidRDefault="00F87902">
            <w:pPr>
              <w:jc w:val="center"/>
              <w:rPr>
                <w:rFonts w:ascii="Arial" w:hAnsi="Arial" w:cs="Arial"/>
                <w:b/>
                <w:sz w:val="20"/>
                <w:szCs w:val="20"/>
              </w:rPr>
            </w:pPr>
          </w:p>
        </w:tc>
        <w:tc>
          <w:tcPr>
            <w:tcW w:w="1306" w:type="dxa"/>
            <w:shd w:val="clear" w:color="auto" w:fill="auto"/>
            <w:vAlign w:val="bottom"/>
          </w:tcPr>
          <w:p w:rsidR="00F87902" w:rsidRDefault="00F87902">
            <w:pPr>
              <w:ind w:left="283" w:right="227"/>
              <w:jc w:val="right"/>
              <w:rPr>
                <w:rFonts w:ascii="Arial" w:hAnsi="Arial" w:cs="Arial"/>
                <w:sz w:val="20"/>
                <w:szCs w:val="20"/>
              </w:rPr>
            </w:pPr>
          </w:p>
        </w:tc>
        <w:tc>
          <w:tcPr>
            <w:tcW w:w="2480" w:type="dxa"/>
            <w:shd w:val="clear" w:color="auto" w:fill="auto"/>
            <w:vAlign w:val="bottom"/>
          </w:tcPr>
          <w:p w:rsidR="00F87902" w:rsidRDefault="00F87902">
            <w:pPr>
              <w:ind w:left="283" w:right="907"/>
              <w:jc w:val="right"/>
              <w:rPr>
                <w:rFonts w:ascii="Arial" w:hAnsi="Arial" w:cs="Arial"/>
                <w:sz w:val="20"/>
                <w:szCs w:val="20"/>
              </w:rPr>
            </w:pPr>
          </w:p>
        </w:tc>
        <w:tc>
          <w:tcPr>
            <w:tcW w:w="236" w:type="dxa"/>
            <w:shd w:val="clear" w:color="auto" w:fill="auto"/>
          </w:tcPr>
          <w:p w:rsidR="00F87902" w:rsidRDefault="00F87902">
            <w:pPr>
              <w:jc w:val="right"/>
              <w:rPr>
                <w:rFonts w:ascii="Arial" w:hAnsi="Arial" w:cs="Arial"/>
                <w:color w:val="0070C0"/>
                <w:sz w:val="20"/>
                <w:szCs w:val="20"/>
              </w:rPr>
            </w:pPr>
          </w:p>
        </w:tc>
        <w:tc>
          <w:tcPr>
            <w:tcW w:w="1813" w:type="dxa"/>
            <w:shd w:val="clear" w:color="auto" w:fill="auto"/>
            <w:vAlign w:val="bottom"/>
          </w:tcPr>
          <w:p w:rsidR="00F87902" w:rsidRDefault="00F87902">
            <w:pPr>
              <w:ind w:left="283" w:right="397"/>
              <w:jc w:val="right"/>
              <w:rPr>
                <w:rFonts w:ascii="Arial" w:hAnsi="Arial" w:cs="Arial"/>
                <w:sz w:val="20"/>
                <w:szCs w:val="20"/>
              </w:rPr>
            </w:pPr>
          </w:p>
        </w:tc>
        <w:tc>
          <w:tcPr>
            <w:tcW w:w="1464" w:type="dxa"/>
            <w:shd w:val="clear" w:color="auto" w:fill="auto"/>
            <w:vAlign w:val="bottom"/>
          </w:tcPr>
          <w:p w:rsidR="00F87902" w:rsidRDefault="00F87902">
            <w:pPr>
              <w:ind w:left="283" w:right="397"/>
              <w:jc w:val="right"/>
              <w:rPr>
                <w:rFonts w:ascii="Arial" w:hAnsi="Arial" w:cs="Arial"/>
                <w:sz w:val="20"/>
                <w:szCs w:val="20"/>
              </w:rPr>
            </w:pPr>
          </w:p>
        </w:tc>
      </w:tr>
      <w:tr w:rsidR="00F87902">
        <w:trPr>
          <w:jc w:val="center"/>
        </w:trPr>
        <w:tc>
          <w:tcPr>
            <w:tcW w:w="1420"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4</w:t>
            </w:r>
          </w:p>
        </w:tc>
        <w:tc>
          <w:tcPr>
            <w:tcW w:w="1306" w:type="dxa"/>
            <w:tcBorders>
              <w:top w:val="single" w:sz="18" w:space="0" w:color="00000A"/>
              <w:bottom w:val="single" w:sz="18" w:space="0" w:color="00000A"/>
            </w:tcBorders>
            <w:shd w:val="clear" w:color="auto" w:fill="auto"/>
          </w:tcPr>
          <w:p w:rsidR="00F87902" w:rsidRDefault="00A519F9">
            <w:pPr>
              <w:jc w:val="right"/>
              <w:rPr>
                <w:rFonts w:ascii="Arial" w:hAnsi="Arial" w:cs="Arial"/>
                <w:b/>
                <w:sz w:val="20"/>
                <w:szCs w:val="20"/>
              </w:rPr>
            </w:pPr>
            <w:r>
              <w:rPr>
                <w:rFonts w:ascii="Arial" w:hAnsi="Arial" w:cs="Arial"/>
                <w:b/>
                <w:sz w:val="20"/>
                <w:szCs w:val="20"/>
              </w:rPr>
              <w:t>7.206,0</w:t>
            </w:r>
          </w:p>
        </w:tc>
        <w:tc>
          <w:tcPr>
            <w:tcW w:w="2480"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8.022,6</w:t>
            </w:r>
          </w:p>
        </w:tc>
        <w:tc>
          <w:tcPr>
            <w:tcW w:w="236"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813"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6.798,3</w:t>
            </w:r>
          </w:p>
        </w:tc>
        <w:tc>
          <w:tcPr>
            <w:tcW w:w="1464"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84,7%</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rPr>
      </w:pPr>
    </w:p>
    <w:p w:rsidR="006D52EA" w:rsidRDefault="006D52EA">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5.   Desarrollar procesos de gestión y de evaluación de calidad, oportunos y pertinentes, que propicien el desarrollo del quehacer sustantivo de la Universidad.</w:t>
      </w:r>
    </w:p>
    <w:p w:rsidR="00F87902" w:rsidRDefault="00F87902">
      <w:pPr>
        <w:spacing w:line="360" w:lineRule="auto"/>
        <w:jc w:val="both"/>
        <w:rPr>
          <w:rFonts w:ascii="Arial" w:hAnsi="Arial" w:cs="Arial"/>
          <w:b/>
        </w:rPr>
      </w:pPr>
    </w:p>
    <w:p w:rsidR="00F87902" w:rsidRDefault="00A519F9">
      <w:pPr>
        <w:spacing w:line="360" w:lineRule="auto"/>
        <w:ind w:left="708"/>
        <w:jc w:val="both"/>
      </w:pPr>
      <w:r>
        <w:rPr>
          <w:rFonts w:ascii="Arial" w:hAnsi="Arial" w:cs="Arial"/>
          <w:b/>
        </w:rPr>
        <w:lastRenderedPageBreak/>
        <w:t xml:space="preserve">Meta 5.1 Ejecutar 31 actividades de autoevaluación para el mejoramiento, la acreditación y la reacreditación.   </w:t>
      </w:r>
    </w:p>
    <w:p w:rsidR="00F87902" w:rsidRDefault="00F87902">
      <w:pPr>
        <w:ind w:left="708"/>
        <w:jc w:val="both"/>
        <w:rPr>
          <w:rFonts w:ascii="Arial" w:hAnsi="Arial" w:cs="Arial"/>
          <w:sz w:val="22"/>
          <w:szCs w:val="22"/>
        </w:rPr>
      </w:pPr>
    </w:p>
    <w:p w:rsidR="00F87902" w:rsidRDefault="00A519F9">
      <w:pPr>
        <w:ind w:left="708"/>
        <w:jc w:val="both"/>
      </w:pPr>
      <w:r>
        <w:rPr>
          <w:rFonts w:ascii="Arial" w:hAnsi="Arial" w:cs="Arial"/>
          <w:sz w:val="22"/>
          <w:szCs w:val="22"/>
        </w:rPr>
        <w:t xml:space="preserve">Del número aproximado de actividades realizadas (56) durante el periodo, se deriva un cumplimiento del  </w:t>
      </w:r>
      <w:r>
        <w:rPr>
          <w:rFonts w:ascii="Arial" w:hAnsi="Arial" w:cs="Arial"/>
          <w:b/>
          <w:sz w:val="22"/>
          <w:szCs w:val="22"/>
        </w:rPr>
        <w:t>100%.</w:t>
      </w:r>
    </w:p>
    <w:p w:rsidR="00F87902" w:rsidRDefault="00F87902">
      <w:pPr>
        <w:ind w:left="708"/>
        <w:jc w:val="both"/>
        <w:rPr>
          <w:rFonts w:ascii="Arial" w:hAnsi="Arial" w:cs="Arial"/>
        </w:rPr>
      </w:pPr>
    </w:p>
    <w:p w:rsidR="00F87902" w:rsidRDefault="00A519F9">
      <w:pPr>
        <w:numPr>
          <w:ilvl w:val="0"/>
          <w:numId w:val="11"/>
        </w:numPr>
        <w:jc w:val="both"/>
        <w:rPr>
          <w:rFonts w:ascii="Arial" w:hAnsi="Arial" w:cs="Arial"/>
          <w:sz w:val="22"/>
          <w:szCs w:val="22"/>
        </w:rPr>
      </w:pPr>
      <w:r>
        <w:rPr>
          <w:rFonts w:ascii="Arial" w:hAnsi="Arial" w:cs="Arial"/>
          <w:b/>
          <w:sz w:val="22"/>
          <w:szCs w:val="22"/>
        </w:rPr>
        <w:t>70% de logro</w:t>
      </w:r>
      <w:r>
        <w:rPr>
          <w:rFonts w:ascii="Arial" w:hAnsi="Arial" w:cs="Arial"/>
          <w:sz w:val="22"/>
          <w:szCs w:val="22"/>
        </w:rPr>
        <w:t xml:space="preserve"> en la generación del segundo informe oficial de progreso del compromiso de mejora de la carrera Ingeniería en Ciencias Forestales 2014-2015: se está recabando la información correspondiente al informe de mejora y se trabaja en su procesamiento.</w:t>
      </w:r>
    </w:p>
    <w:p w:rsidR="00F87902" w:rsidRDefault="00F87902">
      <w:pPr>
        <w:ind w:left="1068"/>
        <w:jc w:val="both"/>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 xml:space="preserve">125 actividades académicas </w:t>
      </w:r>
      <w:r>
        <w:rPr>
          <w:rFonts w:ascii="Arial" w:hAnsi="Arial" w:cs="Arial"/>
          <w:sz w:val="22"/>
          <w:szCs w:val="22"/>
        </w:rPr>
        <w:t>orientadas a mantener la reacreditación de la carrera Ingeniería en Sistemas de la Escuela de Informática (más del 100% estimado).</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desarrollo de un proyecto para la ejecución del compromiso de mejoramiento con fines de acreditación de la carrera de Danza: 6 reuniones de la comisión de autoevaluación y rediseño curricular, conclusión de un concierto de graduados en el Encuentro centroamericano y del Caribe para el estudio de la danza contemporánea, 4 talleres con personas académicas (contenidos y objetivos de los cursos de técnica y perfiles de ingreso y egreso), 1 reunión con el MEP para participar en el IV Congreso Nacional de las Artes en la Educación 2016.</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 proyecto</w:t>
      </w:r>
      <w:r>
        <w:rPr>
          <w:rFonts w:ascii="Arial" w:hAnsi="Arial" w:cs="Arial"/>
          <w:sz w:val="22"/>
          <w:szCs w:val="22"/>
        </w:rPr>
        <w:t xml:space="preserve"> de gestión académica que impacte la docencia en la carrera de la Enseñanza de la Matemática en la UNA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 actividad académica</w:t>
      </w:r>
      <w:r>
        <w:rPr>
          <w:rFonts w:ascii="Arial" w:hAnsi="Arial" w:cs="Arial"/>
          <w:sz w:val="22"/>
          <w:szCs w:val="22"/>
        </w:rPr>
        <w:t xml:space="preserve">: “Diseño y Gestión Curricular con enfoque en género en la UNA”, en cuyo ámbito se avanzó en la revisión del plan de estudios de la carrera de Bachillerato en Filosofía (100%); </w:t>
      </w:r>
      <w:r>
        <w:rPr>
          <w:rFonts w:ascii="Arial" w:hAnsi="Arial" w:cs="Arial"/>
          <w:b/>
          <w:sz w:val="22"/>
          <w:szCs w:val="22"/>
        </w:rPr>
        <w:t>100% de logro</w:t>
      </w:r>
      <w:r>
        <w:rPr>
          <w:rFonts w:ascii="Arial" w:hAnsi="Arial" w:cs="Arial"/>
          <w:sz w:val="22"/>
          <w:szCs w:val="22"/>
        </w:rPr>
        <w:t xml:space="preserve"> en la ejecución del proyecto “Formulación, implementación y seguimiento del compromiso de mejoramiento del Bachillerato en Gestión del Desarrollo Sostenible con equidad de género”; ambos del Instituto de Estudios de la Mujer (IEM).</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3 guías</w:t>
      </w:r>
      <w:r>
        <w:rPr>
          <w:rFonts w:ascii="Arial" w:hAnsi="Arial" w:cs="Arial"/>
          <w:sz w:val="22"/>
          <w:szCs w:val="22"/>
        </w:rPr>
        <w:t xml:space="preserve"> para la formulación de procesos de autoevaluación con fines de mejoramiento, acreditación y seguimiento de ejecución al compromiso de mejoramiento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5 talleres</w:t>
      </w:r>
      <w:r>
        <w:rPr>
          <w:rFonts w:ascii="Arial" w:hAnsi="Arial" w:cs="Arial"/>
          <w:sz w:val="22"/>
          <w:szCs w:val="22"/>
        </w:rPr>
        <w:t xml:space="preserve"> orientados a la asesoría sobre solicitudes de planes de estudio de grado o posgrado, para realizar el proceso de evaluación curricular, con las escuelas de Ciencias Agrarias, Ciencias Ambientales, Historia, el Inisefor en conjunto con el programa académico campus Sarapiquí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 xml:space="preserve">3 actividades </w:t>
      </w:r>
      <w:r>
        <w:rPr>
          <w:rFonts w:ascii="Arial" w:hAnsi="Arial" w:cs="Arial"/>
          <w:sz w:val="22"/>
          <w:szCs w:val="22"/>
        </w:rPr>
        <w:t>de capacitación y formación para fortalecer los procesos de mejoramiento de las carreras en el marco del Sistema de Desarrollo Profesional: curso de inducción a los procesos de autoevaluación, curso Diseño curricular (aspectos metodológicos), y capacitación proceso de acreditación institucional en el curso Gestión pública en instancias académicas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14 procesos</w:t>
      </w:r>
      <w:r>
        <w:rPr>
          <w:rFonts w:ascii="Arial" w:hAnsi="Arial" w:cs="Arial"/>
          <w:sz w:val="22"/>
          <w:szCs w:val="22"/>
        </w:rPr>
        <w:t xml:space="preserve"> de autoevaluación con fines de acreditación acompañados: 4 bachilleratos, 6 bachilleratos y licenciatura, 2 licenciaturas, 1 maestría y 1 doctorado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lastRenderedPageBreak/>
        <w:t>23 procesos</w:t>
      </w:r>
      <w:r>
        <w:rPr>
          <w:rFonts w:ascii="Arial" w:hAnsi="Arial" w:cs="Arial"/>
          <w:sz w:val="22"/>
          <w:szCs w:val="22"/>
        </w:rPr>
        <w:t xml:space="preserve"> de implementación del compromiso de mejoramiento de las carreras autoevaluadas acompañados: 5 bachilleratos, 14 bachilleratos y licenciatura, 2 licenciaturas, 1 maestría y 1 doctorado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evaluación para medir impacto de una carrera de grado acreditada: 4 talleres para el análisis de los resultados obtenidos en los procesos de autoevaluación de 10 carreras reacreditadas, con la finalidad de valorar los aportes que ha generado la acreditación en la calidad del quehacer institucional.</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3 guías</w:t>
      </w:r>
      <w:r>
        <w:rPr>
          <w:rFonts w:ascii="Arial" w:hAnsi="Arial" w:cs="Arial"/>
          <w:sz w:val="22"/>
          <w:szCs w:val="22"/>
        </w:rPr>
        <w:t xml:space="preserve"> elaboradas como apoyo a los procesos de autoevaluación como herramienta práctica: autoevaluación con fines de mejoramiento, acreditación y seguimiento de ejecución al compromiso de mejoramiento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5 carreras</w:t>
      </w:r>
      <w:r>
        <w:rPr>
          <w:rFonts w:ascii="Arial" w:hAnsi="Arial" w:cs="Arial"/>
          <w:sz w:val="22"/>
          <w:szCs w:val="22"/>
        </w:rPr>
        <w:t xml:space="preserve"> que iniciaron el proceso de autoevaluación con fines de mejoramiento (100%): </w:t>
      </w:r>
    </w:p>
    <w:p w:rsidR="00F87902" w:rsidRDefault="00F87902">
      <w:pPr>
        <w:pStyle w:val="Prrafodelista"/>
        <w:rPr>
          <w:rFonts w:ascii="Arial" w:hAnsi="Arial" w:cs="Arial"/>
          <w:sz w:val="22"/>
          <w:szCs w:val="22"/>
        </w:rPr>
      </w:pPr>
    </w:p>
    <w:p w:rsidR="00F87902" w:rsidRDefault="00A519F9">
      <w:pPr>
        <w:numPr>
          <w:ilvl w:val="1"/>
          <w:numId w:val="11"/>
        </w:numPr>
        <w:jc w:val="both"/>
        <w:rPr>
          <w:rFonts w:ascii="Arial" w:hAnsi="Arial" w:cs="Arial"/>
          <w:sz w:val="22"/>
          <w:szCs w:val="22"/>
        </w:rPr>
      </w:pPr>
      <w:r>
        <w:rPr>
          <w:rFonts w:ascii="Arial" w:hAnsi="Arial" w:cs="Arial"/>
          <w:sz w:val="22"/>
          <w:szCs w:val="22"/>
        </w:rPr>
        <w:t>Bachillerato y Licenciatura en Educación Musical</w:t>
      </w:r>
    </w:p>
    <w:p w:rsidR="00F87902" w:rsidRDefault="00A519F9">
      <w:pPr>
        <w:numPr>
          <w:ilvl w:val="1"/>
          <w:numId w:val="11"/>
        </w:numPr>
        <w:jc w:val="both"/>
        <w:rPr>
          <w:rFonts w:ascii="Arial" w:hAnsi="Arial" w:cs="Arial"/>
          <w:sz w:val="22"/>
          <w:szCs w:val="22"/>
        </w:rPr>
      </w:pPr>
      <w:r>
        <w:rPr>
          <w:rFonts w:ascii="Arial" w:hAnsi="Arial" w:cs="Arial"/>
          <w:sz w:val="22"/>
          <w:szCs w:val="22"/>
        </w:rPr>
        <w:t>Bachillerato en la Enseñanza del Inglés</w:t>
      </w:r>
    </w:p>
    <w:p w:rsidR="00F87902" w:rsidRDefault="00A519F9">
      <w:pPr>
        <w:numPr>
          <w:ilvl w:val="1"/>
          <w:numId w:val="11"/>
        </w:numPr>
        <w:jc w:val="both"/>
        <w:rPr>
          <w:rFonts w:ascii="Arial" w:hAnsi="Arial" w:cs="Arial"/>
          <w:sz w:val="22"/>
          <w:szCs w:val="22"/>
        </w:rPr>
      </w:pPr>
      <w:r>
        <w:rPr>
          <w:rFonts w:ascii="Arial" w:hAnsi="Arial" w:cs="Arial"/>
          <w:sz w:val="22"/>
          <w:szCs w:val="22"/>
        </w:rPr>
        <w:t>Ingeniería en Sistemas de Información con grado de Bachillerato (sede regional Brunca, campus Coto)</w:t>
      </w:r>
    </w:p>
    <w:p w:rsidR="00F87902" w:rsidRDefault="00A519F9">
      <w:pPr>
        <w:numPr>
          <w:ilvl w:val="1"/>
          <w:numId w:val="11"/>
        </w:numPr>
        <w:jc w:val="both"/>
        <w:rPr>
          <w:rFonts w:ascii="Arial" w:hAnsi="Arial" w:cs="Arial"/>
          <w:sz w:val="22"/>
          <w:szCs w:val="22"/>
        </w:rPr>
      </w:pPr>
      <w:r>
        <w:rPr>
          <w:rFonts w:ascii="Arial" w:hAnsi="Arial" w:cs="Arial"/>
          <w:sz w:val="22"/>
          <w:szCs w:val="22"/>
        </w:rPr>
        <w:t>Ingeniería en Sistemas de Información con grado de Bachillerato (sede regional Chorotega)</w:t>
      </w:r>
    </w:p>
    <w:p w:rsidR="00F87902" w:rsidRDefault="00A519F9">
      <w:pPr>
        <w:numPr>
          <w:ilvl w:val="1"/>
          <w:numId w:val="11"/>
        </w:numPr>
        <w:jc w:val="both"/>
        <w:rPr>
          <w:rFonts w:ascii="Arial" w:hAnsi="Arial" w:cs="Arial"/>
          <w:sz w:val="22"/>
          <w:szCs w:val="22"/>
        </w:rPr>
      </w:pPr>
      <w:r>
        <w:rPr>
          <w:rFonts w:ascii="Arial" w:hAnsi="Arial" w:cs="Arial"/>
          <w:sz w:val="22"/>
          <w:szCs w:val="22"/>
        </w:rPr>
        <w:t>Maestría en Educación Rural Centroamericana</w:t>
      </w:r>
    </w:p>
    <w:p w:rsidR="00F87902" w:rsidRDefault="00F87902">
      <w:pPr>
        <w:ind w:left="1788"/>
        <w:jc w:val="both"/>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actividades de apoyo al seguimiento de las personas graduadas de las carreras acreditadas y en proceso de autoevaluación: atención de 10 nuevas solicitudes de bases de datos y compleción de 2 solicitudes del 2014 por parte de 12 instancias; además de asesoría sobre acciones de vinculación y seguimiento de graduados y empleadores para apoyar el compromiso de mejoramiento del Bachillerato y Licenciatura en Ingeniería en Agronomía.</w:t>
      </w:r>
    </w:p>
    <w:p w:rsidR="00F87902" w:rsidRDefault="00F87902">
      <w:pPr>
        <w:ind w:left="1068"/>
        <w:jc w:val="both"/>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 xml:space="preserve">1 solicitud de apoyo </w:t>
      </w:r>
      <w:r>
        <w:rPr>
          <w:rFonts w:ascii="Arial" w:hAnsi="Arial" w:cs="Arial"/>
          <w:sz w:val="22"/>
          <w:szCs w:val="22"/>
        </w:rPr>
        <w:t xml:space="preserve">al proceso de autoevaluación para el mejoramiento con la Agencia Acreditadora ACAP, para las maestrías de </w:t>
      </w:r>
      <w:r>
        <w:rPr>
          <w:rFonts w:ascii="Arial" w:hAnsi="Arial" w:cs="Arial"/>
          <w:i/>
          <w:sz w:val="22"/>
          <w:szCs w:val="22"/>
        </w:rPr>
        <w:t>Progestic</w:t>
      </w:r>
      <w:r>
        <w:rPr>
          <w:rFonts w:ascii="Arial" w:hAnsi="Arial" w:cs="Arial"/>
          <w:sz w:val="22"/>
          <w:szCs w:val="22"/>
        </w:rPr>
        <w:t>, Escuela de Informática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implementación de una propuesta de estrategia que integre los resultados de evaluación: 18 informes integrados del superior jerárquico, autoevaluación del docente e información del desempeño por parte de los estudiantes.</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seguimiento a 42 unidades académicas con la valoración del desempeño docente en categorías entre deficiente y regular: envío de 42 oficios para la recolección  de planes de seguimiento a aquellas unidades que lograron el 50% de participación. Análisis de información recopilado de planes de seguimiento. Implementación de plataforma virtual para acceder a resultados de evaluación y desarrollo profesional por parte de autoridades de unidades académicas.</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análisis de resultados de la segunda fase de la campaña de cultura de evaluación (a estudiantes) en la UNA: conversatorios con estudiantes, 1.015 estudiantes atendidos, conversatorios con unidades académicas (25 visitadas), reunión con </w:t>
      </w:r>
      <w:r>
        <w:rPr>
          <w:rFonts w:ascii="Arial" w:hAnsi="Arial" w:cs="Arial"/>
          <w:i/>
          <w:sz w:val="22"/>
          <w:szCs w:val="22"/>
        </w:rPr>
        <w:t>Feuna</w:t>
      </w:r>
      <w:r>
        <w:rPr>
          <w:rFonts w:ascii="Arial" w:hAnsi="Arial" w:cs="Arial"/>
          <w:sz w:val="22"/>
          <w:szCs w:val="22"/>
        </w:rPr>
        <w:t>, etc.</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lastRenderedPageBreak/>
        <w:t>100% de logro</w:t>
      </w:r>
      <w:r>
        <w:rPr>
          <w:rFonts w:ascii="Arial" w:hAnsi="Arial" w:cs="Arial"/>
          <w:sz w:val="22"/>
          <w:szCs w:val="22"/>
        </w:rPr>
        <w:t xml:space="preserve"> en la implementación y el seguimiento a la tercera fase de la campaña, dirigida a superiores jerárquicos: colocación de signos externos de la campaña </w:t>
      </w:r>
      <w:r>
        <w:rPr>
          <w:rFonts w:ascii="Arial" w:hAnsi="Arial" w:cs="Arial"/>
          <w:i/>
          <w:sz w:val="22"/>
          <w:szCs w:val="22"/>
        </w:rPr>
        <w:t>Evalúa para mejorar</w:t>
      </w:r>
      <w:r>
        <w:rPr>
          <w:rFonts w:ascii="Arial" w:hAnsi="Arial" w:cs="Arial"/>
          <w:sz w:val="22"/>
          <w:szCs w:val="22"/>
        </w:rPr>
        <w:t>, visitas a 25 unidades académicas.</w:t>
      </w:r>
    </w:p>
    <w:p w:rsidR="00F87902" w:rsidRDefault="00F87902">
      <w:pPr>
        <w:pStyle w:val="Prrafodelista"/>
        <w:rPr>
          <w:rFonts w:ascii="Arial" w:hAnsi="Arial" w:cs="Arial"/>
          <w:sz w:val="22"/>
          <w:szCs w:val="22"/>
        </w:rPr>
      </w:pPr>
    </w:p>
    <w:p w:rsidR="00F87902" w:rsidRPr="000855CC" w:rsidRDefault="00A519F9">
      <w:pPr>
        <w:numPr>
          <w:ilvl w:val="0"/>
          <w:numId w:val="11"/>
        </w:numPr>
        <w:jc w:val="both"/>
        <w:rPr>
          <w:rFonts w:ascii="Arial" w:hAnsi="Arial" w:cs="Arial"/>
          <w:color w:val="auto"/>
          <w:sz w:val="22"/>
          <w:szCs w:val="22"/>
        </w:rPr>
      </w:pPr>
      <w:r>
        <w:rPr>
          <w:rFonts w:ascii="Arial" w:hAnsi="Arial" w:cs="Arial"/>
          <w:b/>
          <w:sz w:val="22"/>
          <w:szCs w:val="22"/>
        </w:rPr>
        <w:t>3 acciones</w:t>
      </w:r>
      <w:r>
        <w:rPr>
          <w:rFonts w:ascii="Arial" w:hAnsi="Arial" w:cs="Arial"/>
          <w:sz w:val="22"/>
          <w:szCs w:val="22"/>
        </w:rPr>
        <w:t xml:space="preserve"> para dar seguimiento a la campaña de evaluación en la UNA: conversatorios con estudiantes, conversatorio con unidades académicas, reunión con </w:t>
      </w:r>
      <w:r>
        <w:rPr>
          <w:rFonts w:ascii="Arial" w:hAnsi="Arial" w:cs="Arial"/>
          <w:i/>
          <w:sz w:val="22"/>
          <w:szCs w:val="22"/>
        </w:rPr>
        <w:t>Feuna</w:t>
      </w:r>
      <w:r>
        <w:rPr>
          <w:rFonts w:ascii="Arial" w:hAnsi="Arial" w:cs="Arial"/>
          <w:sz w:val="22"/>
          <w:szCs w:val="22"/>
        </w:rPr>
        <w:t>, visita asociac</w:t>
      </w:r>
      <w:r w:rsidRPr="000855CC">
        <w:rPr>
          <w:rFonts w:ascii="Arial" w:hAnsi="Arial" w:cs="Arial"/>
          <w:color w:val="auto"/>
          <w:sz w:val="22"/>
          <w:szCs w:val="22"/>
        </w:rPr>
        <w:t>iones estudiantes, etc. (100%).</w:t>
      </w:r>
    </w:p>
    <w:p w:rsidR="00F87902" w:rsidRPr="000855CC" w:rsidRDefault="00F87902">
      <w:pPr>
        <w:pStyle w:val="Prrafodelista"/>
        <w:rPr>
          <w:rFonts w:ascii="Arial" w:hAnsi="Arial" w:cs="Arial"/>
          <w:color w:val="auto"/>
          <w:sz w:val="22"/>
          <w:szCs w:val="22"/>
        </w:rPr>
      </w:pPr>
    </w:p>
    <w:p w:rsidR="00F87902" w:rsidRPr="000855CC" w:rsidRDefault="00A519F9">
      <w:pPr>
        <w:numPr>
          <w:ilvl w:val="0"/>
          <w:numId w:val="11"/>
        </w:numPr>
        <w:jc w:val="both"/>
        <w:rPr>
          <w:rFonts w:ascii="Arial" w:hAnsi="Arial" w:cs="Arial"/>
          <w:color w:val="auto"/>
          <w:sz w:val="22"/>
          <w:szCs w:val="22"/>
        </w:rPr>
      </w:pPr>
      <w:r w:rsidRPr="000855CC">
        <w:rPr>
          <w:rFonts w:ascii="Arial" w:hAnsi="Arial" w:cs="Arial"/>
          <w:b/>
          <w:color w:val="auto"/>
          <w:sz w:val="22"/>
          <w:szCs w:val="22"/>
        </w:rPr>
        <w:t xml:space="preserve">6 procesos de autoevaluación </w:t>
      </w:r>
      <w:r w:rsidRPr="000855CC">
        <w:rPr>
          <w:rFonts w:ascii="Arial" w:hAnsi="Arial" w:cs="Arial"/>
          <w:color w:val="auto"/>
          <w:sz w:val="22"/>
          <w:szCs w:val="22"/>
        </w:rPr>
        <w:t xml:space="preserve">con fines de mejoramiento acompañados (100%): </w:t>
      </w:r>
    </w:p>
    <w:p w:rsidR="00F87902" w:rsidRPr="000855CC" w:rsidRDefault="00F87902">
      <w:pPr>
        <w:pStyle w:val="Prrafodelista"/>
        <w:rPr>
          <w:rFonts w:ascii="Arial" w:hAnsi="Arial" w:cs="Arial"/>
          <w:color w:val="auto"/>
          <w:sz w:val="22"/>
          <w:szCs w:val="22"/>
        </w:rPr>
      </w:pPr>
    </w:p>
    <w:p w:rsidR="00F87902" w:rsidRPr="000855CC" w:rsidRDefault="00A519F9">
      <w:pPr>
        <w:numPr>
          <w:ilvl w:val="1"/>
          <w:numId w:val="11"/>
        </w:numPr>
        <w:jc w:val="both"/>
        <w:rPr>
          <w:rFonts w:ascii="Arial" w:hAnsi="Arial" w:cs="Arial"/>
          <w:color w:val="auto"/>
          <w:sz w:val="22"/>
          <w:szCs w:val="22"/>
        </w:rPr>
      </w:pPr>
      <w:r w:rsidRPr="000855CC">
        <w:rPr>
          <w:rFonts w:ascii="Arial" w:hAnsi="Arial" w:cs="Arial"/>
          <w:color w:val="auto"/>
          <w:sz w:val="22"/>
          <w:szCs w:val="22"/>
        </w:rPr>
        <w:t>Bachillerato y Licenciatura en Administración</w:t>
      </w:r>
    </w:p>
    <w:p w:rsidR="00F87902" w:rsidRPr="000855CC" w:rsidRDefault="00A519F9" w:rsidP="000855CC">
      <w:pPr>
        <w:numPr>
          <w:ilvl w:val="1"/>
          <w:numId w:val="11"/>
        </w:numPr>
        <w:jc w:val="both"/>
        <w:rPr>
          <w:rFonts w:ascii="Arial" w:hAnsi="Arial" w:cs="Arial"/>
          <w:color w:val="auto"/>
          <w:sz w:val="22"/>
          <w:szCs w:val="22"/>
        </w:rPr>
      </w:pPr>
      <w:r w:rsidRPr="000855CC">
        <w:rPr>
          <w:rFonts w:ascii="Arial" w:hAnsi="Arial" w:cs="Arial"/>
          <w:color w:val="auto"/>
          <w:sz w:val="22"/>
          <w:szCs w:val="22"/>
        </w:rPr>
        <w:t>Bachillerato y Licenciatura en Arte y Comunicación Visual</w:t>
      </w:r>
    </w:p>
    <w:p w:rsidR="00F87902" w:rsidRPr="000855CC" w:rsidRDefault="00A519F9">
      <w:pPr>
        <w:numPr>
          <w:ilvl w:val="1"/>
          <w:numId w:val="11"/>
        </w:numPr>
        <w:jc w:val="both"/>
        <w:rPr>
          <w:rFonts w:ascii="Arial" w:hAnsi="Arial" w:cs="Arial"/>
          <w:color w:val="auto"/>
          <w:sz w:val="22"/>
          <w:szCs w:val="22"/>
        </w:rPr>
      </w:pPr>
      <w:r w:rsidRPr="000855CC">
        <w:rPr>
          <w:rFonts w:ascii="Arial" w:hAnsi="Arial" w:cs="Arial"/>
          <w:color w:val="auto"/>
          <w:sz w:val="22"/>
          <w:szCs w:val="22"/>
        </w:rPr>
        <w:t>Bachillerato y Licenciatura en Economía</w:t>
      </w:r>
    </w:p>
    <w:p w:rsidR="00F87902" w:rsidRPr="000855CC" w:rsidRDefault="00A519F9">
      <w:pPr>
        <w:numPr>
          <w:ilvl w:val="1"/>
          <w:numId w:val="11"/>
        </w:numPr>
        <w:jc w:val="both"/>
        <w:rPr>
          <w:rFonts w:ascii="Arial" w:hAnsi="Arial" w:cs="Arial"/>
          <w:color w:val="auto"/>
          <w:sz w:val="22"/>
          <w:szCs w:val="22"/>
        </w:rPr>
      </w:pPr>
      <w:r w:rsidRPr="000855CC">
        <w:rPr>
          <w:rFonts w:ascii="Arial" w:hAnsi="Arial" w:cs="Arial"/>
          <w:color w:val="auto"/>
          <w:sz w:val="22"/>
          <w:szCs w:val="22"/>
        </w:rPr>
        <w:t>Licenciatura en Administración Educativa</w:t>
      </w:r>
    </w:p>
    <w:p w:rsidR="00F87902" w:rsidRPr="000855CC" w:rsidRDefault="00A519F9">
      <w:pPr>
        <w:numPr>
          <w:ilvl w:val="1"/>
          <w:numId w:val="11"/>
        </w:numPr>
        <w:jc w:val="both"/>
        <w:rPr>
          <w:rFonts w:ascii="Arial" w:hAnsi="Arial" w:cs="Arial"/>
          <w:color w:val="auto"/>
          <w:sz w:val="22"/>
          <w:szCs w:val="22"/>
        </w:rPr>
      </w:pPr>
      <w:r w:rsidRPr="000855CC">
        <w:rPr>
          <w:rFonts w:ascii="Arial" w:hAnsi="Arial" w:cs="Arial"/>
          <w:color w:val="auto"/>
          <w:sz w:val="22"/>
          <w:szCs w:val="22"/>
        </w:rPr>
        <w:t>Maestría en Gestión Educativa con énfasis en Liderazgo</w:t>
      </w:r>
    </w:p>
    <w:p w:rsidR="00F87902" w:rsidRPr="000855CC" w:rsidRDefault="00A519F9">
      <w:pPr>
        <w:numPr>
          <w:ilvl w:val="1"/>
          <w:numId w:val="11"/>
        </w:numPr>
        <w:jc w:val="both"/>
        <w:rPr>
          <w:rFonts w:ascii="Arial" w:hAnsi="Arial" w:cs="Arial"/>
          <w:color w:val="auto"/>
          <w:sz w:val="22"/>
          <w:szCs w:val="22"/>
        </w:rPr>
      </w:pPr>
      <w:r w:rsidRPr="000855CC">
        <w:rPr>
          <w:rFonts w:ascii="Arial" w:hAnsi="Arial" w:cs="Arial"/>
          <w:color w:val="auto"/>
          <w:sz w:val="22"/>
          <w:szCs w:val="22"/>
        </w:rPr>
        <w:t>Maestría en Educación Rural Centroamericana</w:t>
      </w:r>
    </w:p>
    <w:p w:rsidR="00F87902" w:rsidRPr="000855CC" w:rsidRDefault="00F87902">
      <w:pPr>
        <w:ind w:left="1068"/>
        <w:jc w:val="both"/>
        <w:rPr>
          <w:rFonts w:ascii="Arial" w:hAnsi="Arial" w:cs="Arial"/>
          <w:color w:val="auto"/>
          <w:sz w:val="22"/>
          <w:szCs w:val="22"/>
        </w:rPr>
      </w:pPr>
    </w:p>
    <w:p w:rsidR="00F87902" w:rsidRDefault="00A519F9">
      <w:pPr>
        <w:numPr>
          <w:ilvl w:val="0"/>
          <w:numId w:val="11"/>
        </w:numPr>
        <w:jc w:val="both"/>
        <w:rPr>
          <w:rFonts w:ascii="Arial" w:hAnsi="Arial" w:cs="Arial"/>
          <w:sz w:val="22"/>
          <w:szCs w:val="22"/>
        </w:rPr>
      </w:pPr>
      <w:r w:rsidRPr="000855CC">
        <w:rPr>
          <w:rFonts w:ascii="Arial" w:hAnsi="Arial" w:cs="Arial"/>
          <w:b/>
          <w:color w:val="auto"/>
          <w:sz w:val="22"/>
          <w:szCs w:val="22"/>
        </w:rPr>
        <w:t>5 sesiones de trabajo</w:t>
      </w:r>
      <w:r w:rsidRPr="000855CC">
        <w:rPr>
          <w:rFonts w:ascii="Arial" w:hAnsi="Arial" w:cs="Arial"/>
          <w:color w:val="auto"/>
          <w:sz w:val="22"/>
          <w:szCs w:val="22"/>
        </w:rPr>
        <w:t xml:space="preserve"> para analizar el nuevo modelo de Agencia Centroamericana de Acreditación de Posgrado (ACAP), con la colaboración del personal de OPES-</w:t>
      </w:r>
      <w:r w:rsidRPr="000855CC">
        <w:rPr>
          <w:rFonts w:ascii="Arial" w:hAnsi="Arial" w:cs="Arial"/>
          <w:i/>
          <w:color w:val="auto"/>
          <w:sz w:val="22"/>
          <w:szCs w:val="22"/>
        </w:rPr>
        <w:t>Conare</w:t>
      </w:r>
      <w:r w:rsidRPr="000855CC">
        <w:rPr>
          <w:rFonts w:ascii="Arial" w:hAnsi="Arial" w:cs="Arial"/>
          <w:color w:val="auto"/>
          <w:sz w:val="22"/>
          <w:szCs w:val="22"/>
        </w:rPr>
        <w:t xml:space="preserve"> (unidad de evaluación); así como contrastar los instrumentos utilizados en la autoeva</w:t>
      </w:r>
      <w:r>
        <w:rPr>
          <w:rFonts w:ascii="Arial" w:hAnsi="Arial" w:cs="Arial"/>
          <w:sz w:val="22"/>
          <w:szCs w:val="22"/>
        </w:rPr>
        <w:t xml:space="preserve">luación de la Maestría en Apicultura Tropical y el Doctorado en Ciencias Naturales para el Desarrollo (Docinade), 100%. </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implementación del instrumento de evaluación académica integral con confiabilidad en unidades académicas: instrumento con análisis de confiabilidad elaborado. Recopilados 673 instrumentos. Elaboración de 18 informes de unidades académicas con información de superior jerárquico y autoevaluación. </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 estrategia</w:t>
      </w:r>
      <w:r>
        <w:rPr>
          <w:rFonts w:ascii="Arial" w:hAnsi="Arial" w:cs="Arial"/>
          <w:sz w:val="22"/>
          <w:szCs w:val="22"/>
        </w:rPr>
        <w:t xml:space="preserve"> para la evaluación por pares académicos con dos unidades académicas: selección de dos unidades, Medicina Veterinaria y Centro de Estudios Generales, para taller de capacitación de evaluadores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75% de logro</w:t>
      </w:r>
      <w:r>
        <w:rPr>
          <w:rFonts w:ascii="Arial" w:hAnsi="Arial" w:cs="Arial"/>
          <w:sz w:val="22"/>
          <w:szCs w:val="22"/>
        </w:rPr>
        <w:t xml:space="preserve"> en la elaboración de un instrumento de evaluación de desempeño docente para el </w:t>
      </w:r>
      <w:r>
        <w:rPr>
          <w:rFonts w:ascii="Arial" w:hAnsi="Arial" w:cs="Arial"/>
          <w:i/>
          <w:sz w:val="22"/>
          <w:szCs w:val="22"/>
        </w:rPr>
        <w:t>Cidea</w:t>
      </w:r>
      <w:r>
        <w:rPr>
          <w:rFonts w:ascii="Arial" w:hAnsi="Arial" w:cs="Arial"/>
          <w:sz w:val="22"/>
          <w:szCs w:val="22"/>
        </w:rPr>
        <w:t xml:space="preserve">: caracterización del perfil del docente del </w:t>
      </w:r>
      <w:r>
        <w:rPr>
          <w:rFonts w:ascii="Arial" w:hAnsi="Arial" w:cs="Arial"/>
          <w:i/>
          <w:sz w:val="22"/>
          <w:szCs w:val="22"/>
        </w:rPr>
        <w:t>Cidea</w:t>
      </w:r>
      <w:r>
        <w:rPr>
          <w:rFonts w:ascii="Arial" w:hAnsi="Arial" w:cs="Arial"/>
          <w:sz w:val="22"/>
          <w:szCs w:val="22"/>
        </w:rPr>
        <w:t xml:space="preserve"> y la programación del proceso. Propuesta de instrumento elaborada.</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revisión de instrumentos específicos de evaluación del desempeño para cursos laboratorio, cursos bimodales y presenciales según necesidades detectadas: instrumento aplicado en plan piloto para cursos teóricos y de laboratorio colegiados de la Escuela de Medicina Veterinaria.</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sz w:val="22"/>
          <w:szCs w:val="22"/>
        </w:rPr>
        <w:t>III Informe de avance del compromiso de mejoramiento para continuar con los procesos de búsqueda de la reacreditación de la carrera de Medicina Veterinaria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3 actividades</w:t>
      </w:r>
      <w:r>
        <w:rPr>
          <w:rFonts w:ascii="Arial" w:hAnsi="Arial" w:cs="Arial"/>
          <w:sz w:val="22"/>
          <w:szCs w:val="22"/>
        </w:rPr>
        <w:t xml:space="preserve"> de capacitación y formación para fortalecer los procesos de mejoramiento de las carreras en temas relacionados con el diseño curricular, la evaluación, la autoevaluación o la acreditación de carreras (100%).</w:t>
      </w:r>
    </w:p>
    <w:p w:rsidR="00F87902" w:rsidRDefault="00F87902">
      <w:pPr>
        <w:pStyle w:val="Prrafodelista"/>
        <w:rPr>
          <w:rFonts w:ascii="Arial" w:hAnsi="Arial" w:cs="Arial"/>
          <w:sz w:val="22"/>
          <w:szCs w:val="22"/>
        </w:rPr>
      </w:pPr>
    </w:p>
    <w:p w:rsidR="00F87902" w:rsidRDefault="00A519F9">
      <w:pPr>
        <w:numPr>
          <w:ilvl w:val="0"/>
          <w:numId w:val="11"/>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ejecución de procesos dirigidos a la acreditación y el mejoramiento de la calidad de los laboratorios de investigación: reglamento funcionamiento de laboratorios UNA para mejorar su gestión, 5 reuniones de la comisión de laboratorios de </w:t>
      </w:r>
      <w:r>
        <w:rPr>
          <w:rFonts w:ascii="Arial" w:hAnsi="Arial" w:cs="Arial"/>
          <w:sz w:val="22"/>
          <w:szCs w:val="22"/>
        </w:rPr>
        <w:lastRenderedPageBreak/>
        <w:t xml:space="preserve">la Facultad de ciencias de la Tierra y el Mar, seguimiento al apoyo financiero para 5 laboratorios en proceso de acreditación, 4 capacitaciones a los laboratorios relacionados con el ECA y la ISO 17025, 2 reuniones de coordinación con la Regencia química y la </w:t>
      </w:r>
      <w:r>
        <w:rPr>
          <w:rFonts w:ascii="Arial" w:hAnsi="Arial" w:cs="Arial"/>
          <w:i/>
          <w:sz w:val="22"/>
          <w:szCs w:val="22"/>
        </w:rPr>
        <w:t>Cieuna</w:t>
      </w:r>
      <w:r>
        <w:rPr>
          <w:rFonts w:ascii="Arial" w:hAnsi="Arial" w:cs="Arial"/>
          <w:sz w:val="22"/>
          <w:szCs w:val="22"/>
        </w:rPr>
        <w:t xml:space="preserve"> para crear las metodologías de protocolos de gestión de riesgo, inscripción de 6 laboratorios en el SIA.</w:t>
      </w:r>
    </w:p>
    <w:p w:rsidR="00F87902" w:rsidRDefault="00F87902">
      <w:pPr>
        <w:pStyle w:val="Prrafodelista"/>
        <w:rPr>
          <w:rFonts w:ascii="Arial" w:hAnsi="Arial" w:cs="Arial"/>
          <w:b/>
          <w:color w:val="0070C0"/>
          <w:sz w:val="22"/>
          <w:szCs w:val="22"/>
        </w:rPr>
      </w:pPr>
    </w:p>
    <w:p w:rsidR="00F87902" w:rsidRDefault="00F87902">
      <w:pPr>
        <w:pStyle w:val="Prrafodelista"/>
        <w:rPr>
          <w:rFonts w:ascii="Arial" w:hAnsi="Arial" w:cs="Arial"/>
          <w:b/>
          <w:sz w:val="22"/>
          <w:szCs w:val="22"/>
        </w:rPr>
      </w:pPr>
    </w:p>
    <w:p w:rsidR="00F87902" w:rsidRDefault="00A519F9">
      <w:pPr>
        <w:spacing w:line="360" w:lineRule="auto"/>
        <w:ind w:left="708"/>
        <w:jc w:val="both"/>
        <w:rPr>
          <w:rFonts w:ascii="Arial" w:hAnsi="Arial" w:cs="Arial"/>
          <w:b/>
        </w:rPr>
      </w:pPr>
      <w:r>
        <w:rPr>
          <w:rFonts w:ascii="Arial" w:hAnsi="Arial" w:cs="Arial"/>
          <w:b/>
        </w:rPr>
        <w:t>Meta 5.2 Atender el 100% de actividades de gestión de apoyo al quehacer académico.</w:t>
      </w:r>
    </w:p>
    <w:p w:rsidR="00F87902" w:rsidRDefault="00F87902">
      <w:pPr>
        <w:ind w:left="708"/>
        <w:jc w:val="both"/>
        <w:rPr>
          <w:rFonts w:ascii="Arial" w:hAnsi="Arial" w:cs="Arial"/>
          <w:sz w:val="22"/>
          <w:szCs w:val="22"/>
        </w:rPr>
      </w:pPr>
    </w:p>
    <w:p w:rsidR="00F87902" w:rsidRDefault="00A519F9">
      <w:pPr>
        <w:ind w:left="708"/>
        <w:jc w:val="both"/>
      </w:pPr>
      <w:r>
        <w:rPr>
          <w:rFonts w:ascii="Arial" w:hAnsi="Arial" w:cs="Arial"/>
          <w:sz w:val="22"/>
          <w:szCs w:val="22"/>
        </w:rPr>
        <w:t xml:space="preserve">El cumplimiento de esta meta alcanzó aproximadamente un </w:t>
      </w:r>
      <w:r>
        <w:rPr>
          <w:rFonts w:ascii="Arial" w:hAnsi="Arial" w:cs="Arial"/>
          <w:b/>
          <w:sz w:val="22"/>
          <w:szCs w:val="22"/>
        </w:rPr>
        <w:t>100%</w:t>
      </w:r>
      <w:r>
        <w:rPr>
          <w:rFonts w:ascii="Arial" w:hAnsi="Arial" w:cs="Arial"/>
          <w:sz w:val="22"/>
          <w:szCs w:val="22"/>
        </w:rPr>
        <w:t xml:space="preserve">, según resultados que se muestran a continuación:      </w:t>
      </w:r>
    </w:p>
    <w:p w:rsidR="00F87902" w:rsidRDefault="00F87902">
      <w:pPr>
        <w:ind w:left="708"/>
        <w:jc w:val="both"/>
        <w:rPr>
          <w:rFonts w:ascii="Arial" w:hAnsi="Arial" w:cs="Arial"/>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116 programas, proyectos y actividades</w:t>
      </w:r>
      <w:r>
        <w:rPr>
          <w:rFonts w:ascii="Arial" w:hAnsi="Arial" w:cs="Arial"/>
          <w:sz w:val="22"/>
          <w:szCs w:val="22"/>
        </w:rPr>
        <w:t xml:space="preserve"> de gestión académica desarrollados durante el año.</w:t>
      </w:r>
    </w:p>
    <w:p w:rsidR="00F87902" w:rsidRDefault="00F87902">
      <w:pPr>
        <w:ind w:left="1068"/>
        <w:jc w:val="both"/>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3 actividades de capacitación</w:t>
      </w:r>
      <w:r>
        <w:rPr>
          <w:rFonts w:ascii="Arial" w:hAnsi="Arial" w:cs="Arial"/>
          <w:sz w:val="22"/>
          <w:szCs w:val="22"/>
        </w:rPr>
        <w:t xml:space="preserve"> organizadas para la utilización de herramientas tecnológicas en el ámbito académico mediante la comisión </w:t>
      </w:r>
      <w:r>
        <w:rPr>
          <w:rFonts w:ascii="Arial" w:hAnsi="Arial" w:cs="Arial"/>
          <w:i/>
          <w:sz w:val="22"/>
          <w:szCs w:val="22"/>
        </w:rPr>
        <w:t>Catia</w:t>
      </w:r>
      <w:r>
        <w:rPr>
          <w:rFonts w:ascii="Arial" w:hAnsi="Arial" w:cs="Arial"/>
          <w:sz w:val="22"/>
          <w:szCs w:val="22"/>
        </w:rPr>
        <w:t xml:space="preserve">: impartidos durante el primer ciclo, sobre </w:t>
      </w:r>
      <w:r>
        <w:rPr>
          <w:rFonts w:ascii="Arial" w:hAnsi="Arial" w:cs="Arial"/>
          <w:i/>
          <w:sz w:val="22"/>
          <w:szCs w:val="22"/>
        </w:rPr>
        <w:t>BlackboardCollaborate</w:t>
      </w:r>
      <w:r>
        <w:rPr>
          <w:rFonts w:ascii="Arial" w:hAnsi="Arial" w:cs="Arial"/>
          <w:sz w:val="22"/>
          <w:szCs w:val="22"/>
        </w:rPr>
        <w:t>, base de datos y pizarra electrónica (más del 100% estimado).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50% de logro</w:t>
      </w:r>
      <w:r>
        <w:rPr>
          <w:rFonts w:ascii="Arial" w:hAnsi="Arial" w:cs="Arial"/>
          <w:sz w:val="22"/>
          <w:szCs w:val="22"/>
        </w:rPr>
        <w:t xml:space="preserve"> al impartir 2 talleres de “Uso de herramientas Google de apoyo a la academia”.</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40% de logro</w:t>
      </w:r>
      <w:r>
        <w:rPr>
          <w:rFonts w:ascii="Arial" w:hAnsi="Arial" w:cs="Arial"/>
          <w:sz w:val="22"/>
          <w:szCs w:val="22"/>
        </w:rPr>
        <w:t xml:space="preserve"> al impartir 2 capacitaciones de “Uso de </w:t>
      </w:r>
      <w:r>
        <w:rPr>
          <w:rFonts w:ascii="Arial" w:hAnsi="Arial" w:cs="Arial"/>
          <w:i/>
          <w:sz w:val="22"/>
          <w:szCs w:val="22"/>
        </w:rPr>
        <w:t>UNAx</w:t>
      </w:r>
      <w:r>
        <w:rPr>
          <w:rFonts w:ascii="Arial" w:hAnsi="Arial" w:cs="Arial"/>
          <w:sz w:val="22"/>
          <w:szCs w:val="22"/>
        </w:rPr>
        <w:t xml:space="preserve"> y </w:t>
      </w:r>
      <w:r>
        <w:rPr>
          <w:rFonts w:ascii="Arial" w:hAnsi="Arial" w:cs="Arial"/>
          <w:i/>
          <w:sz w:val="22"/>
          <w:szCs w:val="22"/>
        </w:rPr>
        <w:t>Libre Office</w:t>
      </w:r>
      <w:r>
        <w:rPr>
          <w:rFonts w:ascii="Arial" w:hAnsi="Arial" w:cs="Arial"/>
          <w:sz w:val="22"/>
          <w:szCs w:val="22"/>
        </w:rPr>
        <w:t xml:space="preserve"> con propósitos académicos” a la Sede Interuniversitaria de Alajuela y al campus Sarapiquí.</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 taller</w:t>
      </w:r>
      <w:r>
        <w:rPr>
          <w:rFonts w:ascii="Arial" w:hAnsi="Arial" w:cs="Arial"/>
          <w:sz w:val="22"/>
          <w:szCs w:val="22"/>
        </w:rPr>
        <w:t xml:space="preserve"> de análisis de la normativa del Sistema de Estudios de Posgrado, con la participación de los coordinadores de los posgrados, para el análisis de la estructura y la organización actual y futura del Sistema de Estudios de Posgrado, base del nuevo reglamento del </w:t>
      </w:r>
      <w:r>
        <w:rPr>
          <w:rFonts w:ascii="Arial" w:hAnsi="Arial" w:cs="Arial"/>
          <w:i/>
          <w:sz w:val="22"/>
          <w:szCs w:val="22"/>
        </w:rPr>
        <w:t>Sepuna</w:t>
      </w:r>
      <w:r>
        <w:rPr>
          <w:rFonts w:ascii="Arial" w:hAnsi="Arial" w:cs="Arial"/>
          <w:sz w:val="22"/>
          <w:szCs w:val="22"/>
        </w:rPr>
        <w:t xml:space="preserve"> que se redactará en el marco del nuevo Estatuto Orgánico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lo concerniente a un programa de trabajo para promover cambios en la cultura organizacional y en el campo laboral de la Escuela de Planificación: presentado ante el Consejo Académico el proyecto de educación continua y ejecución de capacitaciones al personal de la escuela sobre inteligencia emocional en las organizaciones I y II, y “Mejorando nuestras relaciones a través de la comunicación asertiva”.</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92% de logro</w:t>
      </w:r>
      <w:r>
        <w:rPr>
          <w:rFonts w:ascii="Arial" w:hAnsi="Arial" w:cs="Arial"/>
          <w:sz w:val="22"/>
          <w:szCs w:val="22"/>
        </w:rPr>
        <w:t xml:space="preserve"> en brindar una formación de enseñanza y aprendizaje con un enfoque innovador para la práctica docente y formación de profesionales en el área de Administración de Oficinas y Educación Comercial: actividades preparatorias para publicar la revista; en el ámbito de la Escuela de Secretariado Profesional.</w:t>
      </w:r>
    </w:p>
    <w:p w:rsidR="00F87902" w:rsidRDefault="00F87902">
      <w:pPr>
        <w:pStyle w:val="Prrafodelista"/>
        <w:rPr>
          <w:rFonts w:ascii="Arial" w:hAnsi="Arial" w:cs="Arial"/>
          <w:b/>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14 actividades académicas</w:t>
      </w:r>
      <w:r>
        <w:rPr>
          <w:rFonts w:ascii="Arial" w:hAnsi="Arial" w:cs="Arial"/>
          <w:sz w:val="22"/>
          <w:szCs w:val="22"/>
        </w:rPr>
        <w:t xml:space="preserve">, dirigidas a contribuir con la innovación pedagógica en diversos contextos socioeducativos: 7 cursos de educación continua, 1 lección inaugural (Trascendencia de la Escuela Normal en la sociedad costarricense), 1 actividad académica Cátedra Uladislao Gámez, invitación a egresados a participar en el III </w:t>
      </w:r>
      <w:r>
        <w:rPr>
          <w:rFonts w:ascii="Arial" w:hAnsi="Arial" w:cs="Arial"/>
          <w:sz w:val="22"/>
          <w:szCs w:val="22"/>
        </w:rPr>
        <w:lastRenderedPageBreak/>
        <w:t>Congreso Iberoamericano de Pedagogía por medio del foro CIDE, 2 conversatorios del IEM, entre otros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3 actividades</w:t>
      </w:r>
      <w:r>
        <w:rPr>
          <w:rFonts w:ascii="Arial" w:hAnsi="Arial" w:cs="Arial"/>
          <w:sz w:val="22"/>
          <w:szCs w:val="22"/>
        </w:rPr>
        <w:t xml:space="preserve"> dentro del marco del Plan de Fortalecimiento y Renovación Académica (100%); en el ámbito del Centro de Estudios Generales.</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gestión de recursos bibliográficos y tecnológicos que se identifiquen para el proceso de enseñanza-aprendizaje: adquisición de 6 proyectores de multimedia, 3 computadoras portátiles, 14 computadoras de escritorio, 2 teléfonos inalámbricos, gestión para adquirir el código de catalogación RDA; en el entorno de la Escuela de Bibliotecología, Documentación e Información.</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2.553 personas matriculadas</w:t>
      </w:r>
      <w:r>
        <w:rPr>
          <w:rFonts w:ascii="Arial" w:hAnsi="Arial" w:cs="Arial"/>
          <w:sz w:val="22"/>
          <w:szCs w:val="22"/>
        </w:rPr>
        <w:t xml:space="preserve"> en el aprendizaje del idioma inglés: 2.525 estudiantes y 28 personas académicas (más del 100% estimado).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 actividades</w:t>
      </w:r>
      <w:r>
        <w:rPr>
          <w:rFonts w:ascii="Arial" w:hAnsi="Arial" w:cs="Arial"/>
          <w:sz w:val="22"/>
          <w:szCs w:val="22"/>
        </w:rPr>
        <w:t xml:space="preserve"> de mantenimiento del Sistema de Información Académica (SIA): acciones de rutina técnica mediante las cuales se procura el buen funcionamiento de esta herramienta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sz w:val="22"/>
          <w:szCs w:val="22"/>
        </w:rPr>
        <w:t>Sexta edición del documento de indicadores de la investigación universitaria estatal que actualiza la información al 2014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75% de logro</w:t>
      </w:r>
      <w:r>
        <w:rPr>
          <w:rFonts w:ascii="Arial" w:hAnsi="Arial" w:cs="Arial"/>
          <w:sz w:val="22"/>
          <w:szCs w:val="22"/>
        </w:rPr>
        <w:t xml:space="preserve"> en la propuesta de implementación de las recomendaciones restantes referidas al análisis del diagnóstico realizado en el 2013: desarrollo de un sistema de carga académica en coordinación con el CGI, el cual permite contar con información en tiempo real para realizar análisis e interpretaciones en relación con las asimetrías que se pueden presentar en esta temática. Se continúa trabajando en la interface del sistema a fin de que se convierta en una herramienta al alcance de la comunidad universitaria.</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50% de logro</w:t>
      </w:r>
      <w:r>
        <w:rPr>
          <w:rFonts w:ascii="Arial" w:hAnsi="Arial" w:cs="Arial"/>
          <w:sz w:val="22"/>
          <w:szCs w:val="22"/>
        </w:rPr>
        <w:t xml:space="preserve"> en el diseño y ejecución de un proceso de implementación como plan piloto del Sistema institucional de gestión de la calidad y pertinencia institucional, en el ámbito académico: diseño concluido,  pero en etapa de revisión por el cambio de autoridades universitarias.</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40 planes</w:t>
      </w:r>
      <w:r>
        <w:rPr>
          <w:rFonts w:ascii="Arial" w:hAnsi="Arial" w:cs="Arial"/>
          <w:sz w:val="22"/>
          <w:szCs w:val="22"/>
        </w:rPr>
        <w:t xml:space="preserve"> de fortalecimiento y estabilidad laboral del sector académico aprobados por la Rectoría (90%).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18 personas académicas</w:t>
      </w:r>
      <w:r>
        <w:rPr>
          <w:rFonts w:ascii="Arial" w:hAnsi="Arial" w:cs="Arial"/>
          <w:sz w:val="22"/>
          <w:szCs w:val="22"/>
        </w:rPr>
        <w:t xml:space="preserve"> de visita en la UNA, a las cuales se les ha coordinado y financiado la visita, como expertos en diferentes temáticas de interés institucional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seguimiento y la ejecución y uso de los recursos del Fondo de fortalecimiento y renovación académica (FRAA): 2 informes que servirán de insumos para la distribución presupuestaria del fondo durante el 2016.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socialización con personas académicas de la UNA la programación anual de temas de coyuntura nacional 2015: acciones por diferentes medios.</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actividades académicas</w:t>
      </w:r>
      <w:r>
        <w:rPr>
          <w:rFonts w:ascii="Arial" w:hAnsi="Arial" w:cs="Arial"/>
          <w:sz w:val="22"/>
          <w:szCs w:val="22"/>
        </w:rPr>
        <w:t xml:space="preserve"> cuya ejecución se ha asesorado y apoyado, tales como foros, mesas redondas, congresos, etc.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lastRenderedPageBreak/>
        <w:t>100% de logro</w:t>
      </w:r>
      <w:r>
        <w:rPr>
          <w:rFonts w:ascii="Arial" w:hAnsi="Arial" w:cs="Arial"/>
          <w:sz w:val="22"/>
          <w:szCs w:val="22"/>
        </w:rPr>
        <w:t xml:space="preserve"> en la formulación de actividades académicas con el plan quinquenal para pueblos indígenas de las universidades públicas: coordinación con las instancias académicas institucionales que trabajan el tema de géneros, derechos humanos y diversidades para convocar las demás instancias que trabajan con poblaciones indígenas.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diseño e implementación de una estrategia de comunicación que permita mejorar la difusión de las actividades académicas institucionales: ilustración de actividades con un banner adicional a la actividad, y aplicación del contenido definido en publicaciones, siguiendo el diseño acordado con UNAWeb.</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 solicitudes tramitadas</w:t>
      </w:r>
      <w:r>
        <w:rPr>
          <w:rFonts w:ascii="Arial" w:hAnsi="Arial" w:cs="Arial"/>
          <w:sz w:val="22"/>
          <w:szCs w:val="22"/>
        </w:rPr>
        <w:t xml:space="preserve"> con el fin de otorgar financiamiento a diferentes eventos de importancia institucional (más del 100% estimado).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 gestión</w:t>
      </w:r>
      <w:r>
        <w:rPr>
          <w:rFonts w:ascii="Arial" w:hAnsi="Arial" w:cs="Arial"/>
          <w:sz w:val="22"/>
          <w:szCs w:val="22"/>
        </w:rPr>
        <w:t xml:space="preserve"> para el análisis y la aprobación de la política institucional de desarrollo regional: política presentada y avalada por las instancias pertinentes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validación y aprobación del reglamento de sedes, como elemento de la estrategia institucional para el desarrollo regional.</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 xml:space="preserve">80% de logro </w:t>
      </w:r>
      <w:r>
        <w:rPr>
          <w:rFonts w:ascii="Arial" w:hAnsi="Arial" w:cs="Arial"/>
          <w:sz w:val="22"/>
          <w:szCs w:val="22"/>
        </w:rPr>
        <w:t>en la implementación de la estrategia institucional para el desarrollo regional, según lo establecido en su marco operativo.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196 evaluaciones</w:t>
      </w:r>
      <w:r>
        <w:rPr>
          <w:rFonts w:ascii="Arial" w:hAnsi="Arial" w:cs="Arial"/>
          <w:sz w:val="22"/>
          <w:szCs w:val="22"/>
        </w:rPr>
        <w:t xml:space="preserve"> ex ante, durante y ex post de proyectos y actividades académicas de docencia e integrados con componente de docencia: 96 sesiones de análisis de nuevas formulaciones y reformulaciones, 36 sesiones de análisis de informes finales, 51 evaluaciones parciales y sus respectivos avales y 13 proyectos para fondos del sistema (en ejecución y cierres, 100%.   </w:t>
      </w:r>
    </w:p>
    <w:p w:rsidR="00F87902" w:rsidRDefault="00F87902">
      <w:pPr>
        <w:pStyle w:val="Prrafodelista"/>
        <w:rPr>
          <w:rFonts w:ascii="Arial" w:hAnsi="Arial" w:cs="Arial"/>
          <w:color w:val="0070C0"/>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96 solicitudes</w:t>
      </w:r>
      <w:r>
        <w:rPr>
          <w:rFonts w:ascii="Arial" w:hAnsi="Arial" w:cs="Arial"/>
          <w:sz w:val="22"/>
          <w:szCs w:val="22"/>
        </w:rPr>
        <w:t xml:space="preserve"> de asesoría para la gestión de programas, proyectos y actividades académicas de docencia e integrados con componente de docencia, sobre formulación de proyectos, lineamientos y procedimientos sobre gestión de PPAA, uso del SIA (modificaciones, inclusiones, acuerdos, etc.), nombramientos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8 acciones de capacitación</w:t>
      </w:r>
      <w:r>
        <w:rPr>
          <w:rFonts w:ascii="Arial" w:hAnsi="Arial" w:cs="Arial"/>
          <w:sz w:val="22"/>
          <w:szCs w:val="22"/>
        </w:rPr>
        <w:t xml:space="preserve"> en formulación y gestión de programas, proyectos y actividades académicas con componente de docencia (más del 100% estimado).</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53 reuniones de coordinación</w:t>
      </w:r>
      <w:r>
        <w:rPr>
          <w:rFonts w:ascii="Arial" w:hAnsi="Arial" w:cs="Arial"/>
          <w:sz w:val="22"/>
          <w:szCs w:val="22"/>
        </w:rPr>
        <w:t xml:space="preserve"> con el propósito de articular acciones institucionales e interinstitucionales que promuevan la formulación y ejecución de PPAA, al menos 6 de ellas en ámbito de comisiones en </w:t>
      </w:r>
      <w:r>
        <w:rPr>
          <w:rFonts w:ascii="Arial" w:hAnsi="Arial" w:cs="Arial"/>
          <w:i/>
          <w:sz w:val="22"/>
          <w:szCs w:val="22"/>
        </w:rPr>
        <w:t>Conare</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 estrategia institucional</w:t>
      </w:r>
      <w:r>
        <w:rPr>
          <w:rFonts w:ascii="Arial" w:hAnsi="Arial" w:cs="Arial"/>
          <w:sz w:val="22"/>
          <w:szCs w:val="22"/>
        </w:rPr>
        <w:t xml:space="preserve"> para la transversalización de la discapacidad: seguimiento a la estrategia diseñada por la comisión institucional en materia de discapacidad, desarrollo de cursos y talleres para funcionarios en esta materia: 15 cursos y talleres con la participación de 110 personas académicas y 61 administrativas (100%).</w:t>
      </w:r>
    </w:p>
    <w:p w:rsidR="00F87902" w:rsidRDefault="00F87902">
      <w:pPr>
        <w:ind w:left="1068"/>
        <w:jc w:val="both"/>
        <w:rPr>
          <w:rFonts w:ascii="Arial" w:hAnsi="Arial" w:cs="Arial"/>
          <w:sz w:val="22"/>
          <w:szCs w:val="22"/>
        </w:rPr>
      </w:pPr>
    </w:p>
    <w:p w:rsidR="00F87902" w:rsidRDefault="00A519F9">
      <w:pPr>
        <w:numPr>
          <w:ilvl w:val="0"/>
          <w:numId w:val="2"/>
        </w:numPr>
        <w:ind w:left="1068"/>
        <w:jc w:val="both"/>
      </w:pPr>
      <w:r>
        <w:rPr>
          <w:rFonts w:ascii="Arial" w:hAnsi="Arial" w:cs="Arial"/>
          <w:b/>
          <w:sz w:val="22"/>
          <w:szCs w:val="22"/>
        </w:rPr>
        <w:t>35 acciones de coordinación</w:t>
      </w:r>
      <w:r>
        <w:rPr>
          <w:rFonts w:ascii="Arial" w:hAnsi="Arial" w:cs="Arial"/>
          <w:sz w:val="22"/>
          <w:szCs w:val="22"/>
        </w:rPr>
        <w:t xml:space="preserve"> con los programas de la Vicerrectoría de Docencia en temas relacionados con diseño de planes de estudio, evaluación de carreras, acreditación, evaluación académica, desarrollo profesional, virtualización o TIC, etc.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lastRenderedPageBreak/>
        <w:t>928 PPAA</w:t>
      </w:r>
      <w:r>
        <w:rPr>
          <w:rFonts w:ascii="Arial" w:hAnsi="Arial" w:cs="Arial"/>
          <w:sz w:val="22"/>
          <w:szCs w:val="22"/>
        </w:rPr>
        <w:t xml:space="preserve"> a los que se les ha dado seguimiento, mediante la evaluación de 175 propuestas nuevas, 119 informes finales, 213 informes de avance, 239 análisis de solicitudes de cambio, 170 análisis de solicitudes de nombramientos, que generaron 928 avales y otros trámites.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13 actividades de capacitación</w:t>
      </w:r>
      <w:r>
        <w:rPr>
          <w:rFonts w:ascii="Arial" w:hAnsi="Arial" w:cs="Arial"/>
          <w:sz w:val="22"/>
          <w:szCs w:val="22"/>
        </w:rPr>
        <w:t xml:space="preserve"> que estimulen las destrezas y habilidades en formulación y gestión de PPAA en investigación: sobre matrices de evaluación en las facultades de Ciencias Exactas y Naturales, y la de Ciencias de la Tierra y el Mar, con la participación de 30 personas; 1 taller con funcionarias administrativas (23 participantes) y 5 talleres con personas académicas (63 participantes) de la Facultad de Ciencias Sociales; entre otros (100%).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1.197 consultas atendidas</w:t>
      </w:r>
      <w:r>
        <w:rPr>
          <w:rFonts w:ascii="Arial" w:hAnsi="Arial" w:cs="Arial"/>
          <w:sz w:val="22"/>
          <w:szCs w:val="22"/>
        </w:rPr>
        <w:t xml:space="preserve">: incluyen aquellas por correo electrónico, por medios telefónicos y personales, realizadas por personas académicas y autoridades, relacionadas con la formulación, la aprobación y la ejecución de PPAA tanto con fondos institucionales como externos (100%).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coordinación de estrategias de trabajo conjunto respecto a los PPAA entre el equipo asesor, las direcciones o subdirecciones de unidades académicas y vicedecanatos de 5 facultades, centros o sedes: 19 sesiones de trabajo con vicedecanatos; coordinación de talleres y asesorías con las escuelas de Psicología, Sociología, Historia, Planificación, Economía; 4 reuniones de trabajo del equipo asesor en temas de gestión de PPAA.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8 actividades para el mejoramiento</w:t>
      </w:r>
      <w:r>
        <w:rPr>
          <w:rFonts w:ascii="Arial" w:hAnsi="Arial" w:cs="Arial"/>
          <w:sz w:val="22"/>
          <w:szCs w:val="22"/>
        </w:rPr>
        <w:t xml:space="preserve"> de los procesos de gestión de PPAA: nuevas matrices distribuidas a decanatos y unidades académicas, participación en una reunión con el Consejo Académico de la Facultad de Ciencias de la Tierra y el Mar en el “Taller de políticas de Investigación”; 1 documento con sugerencias de cambios a los Lineamientos para la gestión de PPAA y sus procedimientos, entre otras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12 acciones</w:t>
      </w:r>
      <w:r>
        <w:rPr>
          <w:rFonts w:ascii="Arial" w:hAnsi="Arial" w:cs="Arial"/>
          <w:sz w:val="22"/>
          <w:szCs w:val="22"/>
        </w:rPr>
        <w:t xml:space="preserve"> para la gestión del Fondo de equipo científico y tecnológico (FECT): generación de las resoluciones del concurso 2016 (la selección se dio en diciembre del 2014), realización de un taller para la entrega de resoluciones de equipo científico y tecnológico a las personas académicas seleccionadas en el concurso 2016, 6 visto buenos de modificaciones presupuestarias para la compra de equipo científico y tecnológico, 2 reuniones convocatoria 2016, etc. (100%).</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6 acciones</w:t>
      </w:r>
      <w:r>
        <w:rPr>
          <w:rFonts w:ascii="Arial" w:hAnsi="Arial" w:cs="Arial"/>
          <w:sz w:val="22"/>
          <w:szCs w:val="22"/>
        </w:rPr>
        <w:t xml:space="preserve"> para la capacitación y mejora continua de las capacidades en gestión de la investigación universitaria de las personas funcionarias de la Dirección de Investigación: 3 asesoras participaron en el curso-taller Introducción a la sistematización de experiencias, 1 asesora participó en conferencia internacional sobre calidad de las revistas de ciencias sociales y humanidades, 1 curso diseño modelos y enfoques de investigación, 2 análisis sobre normativa, etc. (100%).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participación y el apoyo a la realización de actividades convocadas por el SIA y la vicerrectoría correspondiente: participación en comisión incidencia en política pública, 1 taller, 1 memoria, establecimiento de ruta para el diseño de metodología, etc.</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el apoyo a la articulación del quehacer académico con las prioridades establecidas en la estrategia institucional para el desarrollo regional: seguimiento a </w:t>
      </w:r>
      <w:r>
        <w:rPr>
          <w:rFonts w:ascii="Arial" w:hAnsi="Arial" w:cs="Arial"/>
          <w:sz w:val="22"/>
          <w:szCs w:val="22"/>
        </w:rPr>
        <w:lastRenderedPageBreak/>
        <w:t xml:space="preserve">política de regionalización presentada ante </w:t>
      </w:r>
      <w:r>
        <w:rPr>
          <w:rFonts w:ascii="Arial" w:hAnsi="Arial" w:cs="Arial"/>
          <w:i/>
          <w:sz w:val="22"/>
          <w:szCs w:val="22"/>
        </w:rPr>
        <w:t>Consaca</w:t>
      </w:r>
      <w:r>
        <w:rPr>
          <w:rFonts w:ascii="Arial" w:hAnsi="Arial" w:cs="Arial"/>
          <w:sz w:val="22"/>
          <w:szCs w:val="22"/>
        </w:rPr>
        <w:t xml:space="preserve">, seguimiento a la estrategia de regionalización articulada con sedes, entre otros.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3 actividades</w:t>
      </w:r>
      <w:r>
        <w:rPr>
          <w:rFonts w:ascii="Arial" w:hAnsi="Arial" w:cs="Arial"/>
          <w:sz w:val="22"/>
          <w:szCs w:val="22"/>
        </w:rPr>
        <w:t xml:space="preserve"> para contribuir a la integración de disciplinas, unidades académicas y facultades, a través de los fondos concursables: se sigue promoviendo la participación de varias unidades académicas en los concursos FIDA y redes; se levantó la lista de PPAA en temas indígenas con sus objetivos; se realizan gestiones para la inclusión de este criterio en concurso FIDA (60%).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21 actividades</w:t>
      </w:r>
      <w:r>
        <w:rPr>
          <w:rFonts w:ascii="Arial" w:hAnsi="Arial" w:cs="Arial"/>
          <w:sz w:val="22"/>
          <w:szCs w:val="22"/>
        </w:rPr>
        <w:t xml:space="preserve"> de planificación para implementar la iniciativa de cambio climático y desarrollo: Observatorio Ambiental, en cuyo ámbito se realizaron 2 reuniones de coordinación, apoyo a la generación de indicadores, gestión de 6 pasantías, entre otras (95%).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aplicación de las matrices de evaluación en el total de las propuestas nuevas de PPAA e informes finales que lo requieren.  </w:t>
      </w:r>
    </w:p>
    <w:p w:rsidR="00F87902" w:rsidRDefault="00F87902">
      <w:pPr>
        <w:pStyle w:val="Prrafodelista"/>
        <w:rPr>
          <w:rFonts w:ascii="Arial" w:hAnsi="Arial" w:cs="Arial"/>
          <w:sz w:val="22"/>
          <w:szCs w:val="22"/>
        </w:rPr>
      </w:pPr>
    </w:p>
    <w:p w:rsidR="00F87902" w:rsidRDefault="00A519F9">
      <w:pPr>
        <w:numPr>
          <w:ilvl w:val="0"/>
          <w:numId w:val="2"/>
        </w:numPr>
        <w:ind w:left="1068"/>
        <w:jc w:val="both"/>
        <w:rPr>
          <w:rFonts w:ascii="Arial" w:hAnsi="Arial" w:cs="Arial"/>
          <w:sz w:val="22"/>
          <w:szCs w:val="22"/>
        </w:rPr>
      </w:pPr>
      <w:r>
        <w:rPr>
          <w:rFonts w:ascii="Arial" w:hAnsi="Arial" w:cs="Arial"/>
          <w:b/>
          <w:sz w:val="22"/>
          <w:szCs w:val="22"/>
        </w:rPr>
        <w:t>2 foros</w:t>
      </w:r>
      <w:r>
        <w:rPr>
          <w:rFonts w:ascii="Arial" w:hAnsi="Arial" w:cs="Arial"/>
          <w:sz w:val="22"/>
          <w:szCs w:val="22"/>
        </w:rPr>
        <w:t xml:space="preserve"> realizados de divulgación de indicadores del Observatorio Ambiental (100%).</w:t>
      </w:r>
    </w:p>
    <w:p w:rsidR="00F87902" w:rsidRDefault="00F87902">
      <w:pPr>
        <w:pStyle w:val="Prrafodelista"/>
        <w:rPr>
          <w:rFonts w:ascii="Arial" w:hAnsi="Arial" w:cs="Arial"/>
          <w:sz w:val="22"/>
          <w:szCs w:val="22"/>
        </w:rPr>
      </w:pPr>
    </w:p>
    <w:p w:rsidR="00F87902" w:rsidRDefault="00F87902">
      <w:pPr>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5.3 Iniciar la ejecución de 8 actividades de desarrollo y mantenimiento de la infraestructura institucional dedicada a las actividades académicas.</w:t>
      </w:r>
    </w:p>
    <w:p w:rsidR="00F87902" w:rsidRDefault="00F87902">
      <w:pPr>
        <w:ind w:left="1068"/>
        <w:jc w:val="both"/>
        <w:rPr>
          <w:rFonts w:ascii="Arial" w:hAnsi="Arial" w:cs="Arial"/>
          <w:sz w:val="22"/>
          <w:szCs w:val="22"/>
        </w:rPr>
      </w:pPr>
    </w:p>
    <w:p w:rsidR="00F87902" w:rsidRDefault="00A519F9">
      <w:pPr>
        <w:ind w:left="708"/>
        <w:jc w:val="both"/>
      </w:pPr>
      <w:r>
        <w:rPr>
          <w:rFonts w:ascii="Arial" w:hAnsi="Arial" w:cs="Arial"/>
          <w:sz w:val="22"/>
          <w:szCs w:val="22"/>
        </w:rPr>
        <w:t xml:space="preserve">El cumplimiento de esta meta se estima en un </w:t>
      </w:r>
      <w:r>
        <w:rPr>
          <w:rFonts w:ascii="Arial" w:hAnsi="Arial" w:cs="Arial"/>
          <w:b/>
          <w:sz w:val="22"/>
          <w:szCs w:val="22"/>
        </w:rPr>
        <w:t>100%</w:t>
      </w:r>
      <w:r>
        <w:rPr>
          <w:rFonts w:ascii="Arial" w:hAnsi="Arial" w:cs="Arial"/>
          <w:sz w:val="22"/>
          <w:szCs w:val="22"/>
        </w:rPr>
        <w:t xml:space="preserve">, al haberse dado inicio a 9 actividades de desarrollo y mantenimiento. Si bien es </w:t>
      </w:r>
      <w:r w:rsidR="009008F8">
        <w:rPr>
          <w:rFonts w:ascii="Arial" w:hAnsi="Arial" w:cs="Arial"/>
          <w:sz w:val="22"/>
          <w:szCs w:val="22"/>
        </w:rPr>
        <w:t>cierto</w:t>
      </w:r>
      <w:r>
        <w:rPr>
          <w:rFonts w:ascii="Arial" w:hAnsi="Arial" w:cs="Arial"/>
          <w:sz w:val="22"/>
          <w:szCs w:val="22"/>
        </w:rPr>
        <w:t xml:space="preserve"> la ejecución presupuestaria asciende al 24,4%, para el 2015 únicamente se tenía proyectado iniciar la ejecución de recursos</w:t>
      </w:r>
      <w:r w:rsidR="009008F8">
        <w:rPr>
          <w:rFonts w:ascii="Arial" w:hAnsi="Arial" w:cs="Arial"/>
          <w:sz w:val="22"/>
          <w:szCs w:val="22"/>
        </w:rPr>
        <w:t>,</w:t>
      </w:r>
      <w:r>
        <w:rPr>
          <w:rFonts w:ascii="Arial" w:hAnsi="Arial" w:cs="Arial"/>
          <w:sz w:val="22"/>
          <w:szCs w:val="22"/>
        </w:rPr>
        <w:t xml:space="preserve"> y la mayoría sería ejecutada en el 2016. A continuación se incluye un listado de referencia de las actividades:    </w:t>
      </w:r>
    </w:p>
    <w:p w:rsidR="00F87902" w:rsidRDefault="00F87902">
      <w:pPr>
        <w:ind w:left="708"/>
        <w:jc w:val="both"/>
        <w:rPr>
          <w:rFonts w:ascii="Arial" w:hAnsi="Arial" w:cs="Arial"/>
        </w:rPr>
      </w:pPr>
    </w:p>
    <w:p w:rsidR="00F87902" w:rsidRDefault="00A519F9">
      <w:pPr>
        <w:pStyle w:val="Prrafodelista"/>
        <w:numPr>
          <w:ilvl w:val="0"/>
          <w:numId w:val="31"/>
        </w:numPr>
        <w:rPr>
          <w:rFonts w:ascii="Arial" w:hAnsi="Arial" w:cs="Arial"/>
          <w:sz w:val="22"/>
          <w:szCs w:val="22"/>
        </w:rPr>
      </w:pPr>
      <w:r>
        <w:rPr>
          <w:rFonts w:ascii="Arial" w:hAnsi="Arial" w:cs="Arial"/>
          <w:sz w:val="22"/>
          <w:szCs w:val="22"/>
        </w:rPr>
        <w:t>El edificio de Usos múltiples lleva un 35% de avance, y tiene fecha de conclusión el mes de junio del 2016.</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Construcciones en la Escuela de Ciencias del Movimiento Humano es una obra iniciada, y la totalidad de recursos están comprometidos.</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Construcciones en la Facultad de Ciencias Exactas y Naturales está ejecutado.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Mejoras en malla perimetral de la Facultad de Ciencias Sociales está ejecutado.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Remodelación en Ineina está ejecutado.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Mejoras en Cidea se ha iniciado.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Mejoras en la sede regional Chorotega está iniciado.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Estudio hídrico cuenca Benjamín Núñez realizado.</w:t>
      </w:r>
    </w:p>
    <w:p w:rsidR="00F87902" w:rsidRDefault="00A519F9">
      <w:pPr>
        <w:pStyle w:val="Prrafodelista"/>
        <w:numPr>
          <w:ilvl w:val="0"/>
          <w:numId w:val="31"/>
        </w:numPr>
        <w:rPr>
          <w:rFonts w:ascii="Arial" w:hAnsi="Arial" w:cs="Arial"/>
          <w:sz w:val="22"/>
          <w:szCs w:val="22"/>
        </w:rPr>
      </w:pPr>
      <w:r>
        <w:rPr>
          <w:rFonts w:ascii="Arial" w:hAnsi="Arial" w:cs="Arial"/>
          <w:sz w:val="22"/>
          <w:szCs w:val="22"/>
        </w:rPr>
        <w:t>Adecuaciones de sistemas contra incendios ejecutadas en las sedes regionales Brunca y Chorotega.</w:t>
      </w:r>
    </w:p>
    <w:p w:rsidR="00F87902" w:rsidRDefault="00F87902">
      <w:pPr>
        <w:jc w:val="both"/>
        <w:rPr>
          <w:rFonts w:ascii="Arial" w:hAnsi="Arial" w:cs="Arial"/>
          <w:sz w:val="22"/>
          <w:szCs w:val="22"/>
        </w:rPr>
      </w:pPr>
    </w:p>
    <w:p w:rsidR="00F87902" w:rsidRDefault="00A519F9">
      <w:pPr>
        <w:ind w:left="1068"/>
        <w:jc w:val="both"/>
        <w:rPr>
          <w:rFonts w:ascii="Arial" w:hAnsi="Arial" w:cs="Arial"/>
          <w:i/>
          <w:sz w:val="22"/>
          <w:szCs w:val="22"/>
        </w:rPr>
      </w:pPr>
      <w:r>
        <w:rPr>
          <w:rFonts w:ascii="Arial" w:hAnsi="Arial" w:cs="Arial"/>
          <w:i/>
          <w:sz w:val="22"/>
          <w:szCs w:val="22"/>
        </w:rPr>
        <w:t>La baja ejecución en la meta (24,4%) se debe a los procesos de licitación de obras de infraestructura, que por lo general superan el año de ejecución, y crean compromisos que serán ejecutados en el año siguiente. De hecho, si en esta meta se suman los recursos comprometidos, la ejecución sube a un 89,1%.</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lastRenderedPageBreak/>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center"/>
        <w:rPr>
          <w:rFonts w:ascii="Arial" w:hAnsi="Arial" w:cs="Arial"/>
          <w:b/>
        </w:rPr>
      </w:pPr>
      <w:r>
        <w:rPr>
          <w:rFonts w:ascii="Arial" w:hAnsi="Arial" w:cs="Arial"/>
          <w:b/>
        </w:rPr>
        <w:t>CUADRO N°8</w:t>
      </w:r>
    </w:p>
    <w:p w:rsidR="00F87902" w:rsidRDefault="00F87902">
      <w:pPr>
        <w:jc w:val="center"/>
        <w:rPr>
          <w:rFonts w:ascii="Arial" w:hAnsi="Arial" w:cs="Arial"/>
          <w:b/>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u w:val="single"/>
        </w:rPr>
      </w:pPr>
    </w:p>
    <w:tbl>
      <w:tblPr>
        <w:tblW w:w="8720" w:type="dxa"/>
        <w:jc w:val="center"/>
        <w:tblBorders>
          <w:top w:val="single" w:sz="18" w:space="0" w:color="00000A"/>
        </w:tblBorders>
        <w:tblLook w:val="04A0"/>
      </w:tblPr>
      <w:tblGrid>
        <w:gridCol w:w="1394"/>
        <w:gridCol w:w="1448"/>
        <w:gridCol w:w="2404"/>
        <w:gridCol w:w="232"/>
        <w:gridCol w:w="1778"/>
        <w:gridCol w:w="1464"/>
      </w:tblGrid>
      <w:tr w:rsidR="00F87902">
        <w:trPr>
          <w:jc w:val="center"/>
        </w:trPr>
        <w:tc>
          <w:tcPr>
            <w:tcW w:w="1394"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51"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42"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94"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448"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04"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78"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63"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94"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5.1</w:t>
            </w:r>
          </w:p>
        </w:tc>
        <w:tc>
          <w:tcPr>
            <w:tcW w:w="1448" w:type="dxa"/>
            <w:tcBorders>
              <w:top w:val="single" w:sz="12" w:space="0" w:color="00000A"/>
            </w:tcBorders>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1.061,2</w:t>
            </w:r>
          </w:p>
        </w:tc>
        <w:tc>
          <w:tcPr>
            <w:tcW w:w="2404" w:type="dxa"/>
            <w:tcBorders>
              <w:top w:val="single" w:sz="12" w:space="0" w:color="00000A"/>
            </w:tcBorders>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1.051,2</w:t>
            </w:r>
          </w:p>
        </w:tc>
        <w:tc>
          <w:tcPr>
            <w:tcW w:w="232"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78"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980,4</w:t>
            </w:r>
          </w:p>
        </w:tc>
        <w:tc>
          <w:tcPr>
            <w:tcW w:w="1463"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93,3%</w:t>
            </w:r>
          </w:p>
        </w:tc>
      </w:tr>
      <w:tr w:rsidR="00F87902">
        <w:trPr>
          <w:jc w:val="center"/>
        </w:trPr>
        <w:tc>
          <w:tcPr>
            <w:tcW w:w="1394" w:type="dxa"/>
            <w:shd w:val="clear" w:color="auto" w:fill="auto"/>
          </w:tcPr>
          <w:p w:rsidR="00F87902" w:rsidRDefault="00A519F9">
            <w:pPr>
              <w:jc w:val="center"/>
              <w:rPr>
                <w:rFonts w:ascii="Arial" w:hAnsi="Arial" w:cs="Arial"/>
                <w:b/>
                <w:sz w:val="20"/>
                <w:szCs w:val="20"/>
              </w:rPr>
            </w:pPr>
            <w:r>
              <w:rPr>
                <w:rFonts w:ascii="Arial" w:hAnsi="Arial" w:cs="Arial"/>
                <w:b/>
                <w:sz w:val="20"/>
                <w:szCs w:val="20"/>
              </w:rPr>
              <w:t>5.2</w:t>
            </w:r>
          </w:p>
        </w:tc>
        <w:tc>
          <w:tcPr>
            <w:tcW w:w="1448" w:type="dxa"/>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16.106,8</w:t>
            </w:r>
          </w:p>
        </w:tc>
        <w:tc>
          <w:tcPr>
            <w:tcW w:w="2404"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15.729,0</w:t>
            </w:r>
          </w:p>
        </w:tc>
        <w:tc>
          <w:tcPr>
            <w:tcW w:w="232" w:type="dxa"/>
            <w:shd w:val="clear" w:color="auto" w:fill="auto"/>
          </w:tcPr>
          <w:p w:rsidR="00F87902" w:rsidRDefault="00F87902">
            <w:pPr>
              <w:jc w:val="right"/>
              <w:rPr>
                <w:rFonts w:ascii="Arial" w:hAnsi="Arial" w:cs="Arial"/>
                <w:color w:val="0070C0"/>
                <w:sz w:val="20"/>
                <w:szCs w:val="20"/>
              </w:rPr>
            </w:pPr>
          </w:p>
        </w:tc>
        <w:tc>
          <w:tcPr>
            <w:tcW w:w="1778"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12.731,4</w:t>
            </w:r>
          </w:p>
        </w:tc>
        <w:tc>
          <w:tcPr>
            <w:tcW w:w="146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80,9%</w:t>
            </w:r>
          </w:p>
        </w:tc>
      </w:tr>
      <w:tr w:rsidR="00F87902">
        <w:trPr>
          <w:jc w:val="center"/>
        </w:trPr>
        <w:tc>
          <w:tcPr>
            <w:tcW w:w="1394" w:type="dxa"/>
            <w:shd w:val="clear" w:color="auto" w:fill="auto"/>
          </w:tcPr>
          <w:p w:rsidR="00F87902" w:rsidRDefault="00A519F9">
            <w:pPr>
              <w:jc w:val="center"/>
              <w:rPr>
                <w:rFonts w:ascii="Arial" w:hAnsi="Arial" w:cs="Arial"/>
                <w:b/>
                <w:sz w:val="20"/>
                <w:szCs w:val="20"/>
              </w:rPr>
            </w:pPr>
            <w:r>
              <w:rPr>
                <w:rFonts w:ascii="Arial" w:hAnsi="Arial" w:cs="Arial"/>
                <w:b/>
                <w:sz w:val="20"/>
                <w:szCs w:val="20"/>
              </w:rPr>
              <w:t>5.3</w:t>
            </w:r>
          </w:p>
        </w:tc>
        <w:tc>
          <w:tcPr>
            <w:tcW w:w="1448" w:type="dxa"/>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1.863,4</w:t>
            </w:r>
          </w:p>
        </w:tc>
        <w:tc>
          <w:tcPr>
            <w:tcW w:w="2404"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5.318,9</w:t>
            </w:r>
          </w:p>
        </w:tc>
        <w:tc>
          <w:tcPr>
            <w:tcW w:w="232" w:type="dxa"/>
            <w:shd w:val="clear" w:color="auto" w:fill="auto"/>
          </w:tcPr>
          <w:p w:rsidR="00F87902" w:rsidRDefault="00F87902">
            <w:pPr>
              <w:jc w:val="right"/>
              <w:rPr>
                <w:rFonts w:ascii="Arial" w:hAnsi="Arial" w:cs="Arial"/>
                <w:color w:val="0070C0"/>
                <w:sz w:val="20"/>
                <w:szCs w:val="20"/>
              </w:rPr>
            </w:pPr>
          </w:p>
        </w:tc>
        <w:tc>
          <w:tcPr>
            <w:tcW w:w="1778"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1.299,4</w:t>
            </w:r>
          </w:p>
        </w:tc>
        <w:tc>
          <w:tcPr>
            <w:tcW w:w="146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24,4%</w:t>
            </w:r>
          </w:p>
        </w:tc>
      </w:tr>
      <w:tr w:rsidR="00F87902">
        <w:trPr>
          <w:trHeight w:val="156"/>
          <w:jc w:val="center"/>
        </w:trPr>
        <w:tc>
          <w:tcPr>
            <w:tcW w:w="1394" w:type="dxa"/>
            <w:shd w:val="clear" w:color="auto" w:fill="auto"/>
          </w:tcPr>
          <w:p w:rsidR="00F87902" w:rsidRDefault="00F87902">
            <w:pPr>
              <w:jc w:val="center"/>
              <w:rPr>
                <w:rFonts w:ascii="Arial" w:hAnsi="Arial" w:cs="Arial"/>
                <w:b/>
                <w:sz w:val="20"/>
                <w:szCs w:val="20"/>
              </w:rPr>
            </w:pPr>
          </w:p>
        </w:tc>
        <w:tc>
          <w:tcPr>
            <w:tcW w:w="1448" w:type="dxa"/>
            <w:shd w:val="clear" w:color="auto" w:fill="auto"/>
          </w:tcPr>
          <w:p w:rsidR="00F87902" w:rsidRDefault="00F87902">
            <w:pPr>
              <w:ind w:left="283" w:right="170"/>
              <w:jc w:val="right"/>
              <w:rPr>
                <w:rFonts w:ascii="Arial" w:hAnsi="Arial" w:cs="Arial"/>
                <w:b/>
                <w:sz w:val="20"/>
                <w:szCs w:val="20"/>
              </w:rPr>
            </w:pPr>
          </w:p>
        </w:tc>
        <w:tc>
          <w:tcPr>
            <w:tcW w:w="2404" w:type="dxa"/>
            <w:shd w:val="clear" w:color="auto" w:fill="auto"/>
          </w:tcPr>
          <w:p w:rsidR="00F87902" w:rsidRDefault="00F87902">
            <w:pPr>
              <w:ind w:left="283" w:right="907"/>
              <w:jc w:val="right"/>
              <w:rPr>
                <w:rFonts w:ascii="Arial" w:hAnsi="Arial" w:cs="Arial"/>
                <w:b/>
                <w:sz w:val="20"/>
                <w:szCs w:val="20"/>
              </w:rPr>
            </w:pPr>
          </w:p>
        </w:tc>
        <w:tc>
          <w:tcPr>
            <w:tcW w:w="232" w:type="dxa"/>
            <w:shd w:val="clear" w:color="auto" w:fill="auto"/>
          </w:tcPr>
          <w:p w:rsidR="00F87902" w:rsidRDefault="00F87902">
            <w:pPr>
              <w:jc w:val="right"/>
              <w:rPr>
                <w:rFonts w:ascii="Arial" w:hAnsi="Arial" w:cs="Arial"/>
                <w:b/>
                <w:color w:val="0070C0"/>
                <w:sz w:val="20"/>
                <w:szCs w:val="20"/>
              </w:rPr>
            </w:pPr>
          </w:p>
        </w:tc>
        <w:tc>
          <w:tcPr>
            <w:tcW w:w="1778" w:type="dxa"/>
            <w:shd w:val="clear" w:color="auto" w:fill="auto"/>
          </w:tcPr>
          <w:p w:rsidR="00F87902" w:rsidRDefault="00F87902">
            <w:pPr>
              <w:ind w:left="283" w:right="397"/>
              <w:jc w:val="right"/>
              <w:rPr>
                <w:rFonts w:ascii="Arial" w:hAnsi="Arial" w:cs="Arial"/>
                <w:b/>
                <w:sz w:val="20"/>
                <w:szCs w:val="20"/>
              </w:rPr>
            </w:pPr>
          </w:p>
        </w:tc>
        <w:tc>
          <w:tcPr>
            <w:tcW w:w="1463" w:type="dxa"/>
            <w:shd w:val="clear" w:color="auto" w:fill="auto"/>
          </w:tcPr>
          <w:p w:rsidR="00F87902" w:rsidRDefault="00F87902">
            <w:pPr>
              <w:ind w:left="283" w:right="397"/>
              <w:jc w:val="right"/>
              <w:rPr>
                <w:rFonts w:ascii="Arial" w:hAnsi="Arial" w:cs="Arial"/>
                <w:b/>
                <w:sz w:val="20"/>
                <w:szCs w:val="20"/>
              </w:rPr>
            </w:pPr>
          </w:p>
        </w:tc>
      </w:tr>
      <w:tr w:rsidR="00F87902">
        <w:trPr>
          <w:jc w:val="center"/>
        </w:trPr>
        <w:tc>
          <w:tcPr>
            <w:tcW w:w="1394"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5</w:t>
            </w:r>
          </w:p>
        </w:tc>
        <w:tc>
          <w:tcPr>
            <w:tcW w:w="1448" w:type="dxa"/>
            <w:tcBorders>
              <w:top w:val="single" w:sz="18" w:space="0" w:color="00000A"/>
              <w:bottom w:val="single" w:sz="18" w:space="0" w:color="00000A"/>
            </w:tcBorders>
            <w:shd w:val="clear" w:color="auto" w:fill="auto"/>
          </w:tcPr>
          <w:p w:rsidR="00F87902" w:rsidRDefault="00A519F9">
            <w:pPr>
              <w:ind w:left="283" w:right="170"/>
              <w:jc w:val="right"/>
              <w:rPr>
                <w:rFonts w:ascii="Arial" w:hAnsi="Arial" w:cs="Arial"/>
                <w:b/>
                <w:sz w:val="20"/>
                <w:szCs w:val="20"/>
              </w:rPr>
            </w:pPr>
            <w:r>
              <w:rPr>
                <w:rFonts w:ascii="Arial" w:hAnsi="Arial" w:cs="Arial"/>
                <w:b/>
                <w:sz w:val="20"/>
                <w:szCs w:val="20"/>
              </w:rPr>
              <w:t>19.031,4</w:t>
            </w:r>
          </w:p>
        </w:tc>
        <w:tc>
          <w:tcPr>
            <w:tcW w:w="2404"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22.099,1</w:t>
            </w:r>
          </w:p>
        </w:tc>
        <w:tc>
          <w:tcPr>
            <w:tcW w:w="232"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778"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15.011,2</w:t>
            </w:r>
          </w:p>
        </w:tc>
        <w:tc>
          <w:tcPr>
            <w:tcW w:w="1463"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67,9%</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u w:val="single"/>
        </w:rPr>
      </w:pPr>
      <w:bookmarkStart w:id="51" w:name="_Toc205107616"/>
      <w:bookmarkStart w:id="52" w:name="_Toc205107270"/>
      <w:bookmarkStart w:id="53" w:name="_Toc205107635"/>
      <w:bookmarkStart w:id="54" w:name="_Toc205107000"/>
      <w:bookmarkStart w:id="55" w:name="_Toc205106825"/>
      <w:bookmarkStart w:id="56" w:name="_Toc348683623"/>
      <w:bookmarkStart w:id="57" w:name="_Toc205107164"/>
      <w:bookmarkStart w:id="58" w:name="_Toc237747463"/>
      <w:bookmarkEnd w:id="51"/>
      <w:bookmarkEnd w:id="52"/>
      <w:bookmarkEnd w:id="53"/>
      <w:bookmarkEnd w:id="54"/>
      <w:bookmarkEnd w:id="55"/>
      <w:bookmarkEnd w:id="56"/>
      <w:bookmarkEnd w:id="57"/>
      <w:bookmarkEnd w:id="58"/>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color w:val="0070C0"/>
          <w:sz w:val="18"/>
          <w:u w:val="single"/>
        </w:rPr>
      </w:pPr>
    </w:p>
    <w:p w:rsidR="00F87902" w:rsidRDefault="00A519F9">
      <w:pPr>
        <w:rPr>
          <w:rFonts w:ascii="Arial" w:hAnsi="Arial" w:cs="Arial"/>
          <w:color w:val="0070C0"/>
          <w:u w:val="single"/>
        </w:rPr>
      </w:pPr>
      <w:r>
        <w:br w:type="page"/>
      </w:r>
    </w:p>
    <w:p w:rsidR="00F87902" w:rsidRDefault="00A519F9">
      <w:pPr>
        <w:spacing w:line="360" w:lineRule="auto"/>
        <w:jc w:val="both"/>
        <w:rPr>
          <w:rFonts w:ascii="Arial" w:hAnsi="Arial" w:cs="Arial"/>
          <w:u w:val="single"/>
        </w:rPr>
      </w:pPr>
      <w:r>
        <w:rPr>
          <w:rFonts w:ascii="Arial" w:hAnsi="Arial" w:cs="Arial"/>
          <w:u w:val="single"/>
        </w:rPr>
        <w:lastRenderedPageBreak/>
        <w:t>Programa Vida Universitaria:</w:t>
      </w:r>
    </w:p>
    <w:p w:rsidR="00F87902" w:rsidRDefault="00F87902">
      <w:pPr>
        <w:spacing w:line="360" w:lineRule="auto"/>
        <w:jc w:val="both"/>
        <w:rPr>
          <w:rFonts w:ascii="Arial" w:hAnsi="Arial" w:cs="Arial"/>
          <w:u w:val="single"/>
        </w:rPr>
      </w:pPr>
    </w:p>
    <w:p w:rsidR="00F87902" w:rsidRDefault="00A519F9">
      <w:pPr>
        <w:spacing w:line="360" w:lineRule="auto"/>
        <w:jc w:val="both"/>
        <w:rPr>
          <w:rFonts w:ascii="Arial" w:hAnsi="Arial" w:cs="Arial"/>
          <w:lang w:val="es-CR" w:eastAsia="es-CR"/>
        </w:rPr>
      </w:pPr>
      <w:r>
        <w:rPr>
          <w:rFonts w:ascii="Arial" w:hAnsi="Arial" w:cs="Arial"/>
        </w:rPr>
        <w:t xml:space="preserve">Al programa Vida Universitaria se le asignaron en el presupuesto institucional un total de </w:t>
      </w:r>
      <w:r>
        <w:rPr>
          <w:rFonts w:ascii="Arial" w:hAnsi="Arial" w:cs="Arial"/>
          <w:lang w:eastAsia="es-CR"/>
        </w:rPr>
        <w:t>₡</w:t>
      </w:r>
      <w:r>
        <w:rPr>
          <w:rFonts w:ascii="Arial" w:hAnsi="Arial" w:cs="Arial"/>
          <w:lang w:val="es-CR" w:eastAsia="es-CR"/>
        </w:rPr>
        <w:t>22.151,7</w:t>
      </w:r>
      <w:r>
        <w:rPr>
          <w:rFonts w:ascii="Arial" w:hAnsi="Arial" w:cs="Arial"/>
        </w:rPr>
        <w:t xml:space="preserve">millones, de los cuales se ejecutaron durante el  año 2015 </w:t>
      </w:r>
      <w:r>
        <w:rPr>
          <w:rFonts w:ascii="Arial" w:hAnsi="Arial" w:cs="Arial"/>
          <w:lang w:eastAsia="es-CR"/>
        </w:rPr>
        <w:t>₡</w:t>
      </w:r>
      <w:r>
        <w:rPr>
          <w:rFonts w:ascii="Arial" w:hAnsi="Arial" w:cs="Arial"/>
        </w:rPr>
        <w:t xml:space="preserve">16.961,0millones, es decir un </w:t>
      </w:r>
      <w:r>
        <w:rPr>
          <w:rFonts w:ascii="Arial" w:hAnsi="Arial" w:cs="Arial"/>
          <w:b/>
        </w:rPr>
        <w:t>76,6%</w:t>
      </w:r>
      <w:r>
        <w:rPr>
          <w:rFonts w:ascii="Arial" w:hAnsi="Arial" w:cs="Arial"/>
          <w:b/>
          <w:lang w:val="es-CR" w:eastAsia="es-CR"/>
        </w:rPr>
        <w:t>.</w:t>
      </w:r>
    </w:p>
    <w:p w:rsidR="00F87902" w:rsidRDefault="00F87902">
      <w:pPr>
        <w:spacing w:line="360" w:lineRule="auto"/>
        <w:jc w:val="both"/>
        <w:rPr>
          <w:rFonts w:ascii="Arial" w:hAnsi="Arial" w:cs="Arial"/>
        </w:rPr>
      </w:pPr>
    </w:p>
    <w:p w:rsidR="00F87902" w:rsidRDefault="00A519F9">
      <w:pPr>
        <w:jc w:val="center"/>
        <w:rPr>
          <w:rFonts w:ascii="Arial" w:hAnsi="Arial" w:cs="Arial"/>
          <w:b/>
          <w:lang w:val="pt-BR"/>
        </w:rPr>
      </w:pPr>
      <w:r>
        <w:rPr>
          <w:rFonts w:ascii="Arial" w:hAnsi="Arial" w:cs="Arial"/>
          <w:b/>
          <w:lang w:val="pt-BR"/>
        </w:rPr>
        <w:t>GRÁFICO N° 4</w:t>
      </w:r>
    </w:p>
    <w:p w:rsidR="00F87902" w:rsidRDefault="00A519F9">
      <w:pPr>
        <w:jc w:val="center"/>
        <w:rPr>
          <w:rFonts w:ascii="Arial" w:hAnsi="Arial" w:cs="Arial"/>
          <w:b/>
          <w:lang w:val="pt-BR"/>
        </w:rPr>
      </w:pPr>
      <w:r>
        <w:rPr>
          <w:rFonts w:ascii="Arial" w:hAnsi="Arial" w:cs="Arial"/>
          <w:b/>
          <w:lang w:val="pt-BR"/>
        </w:rPr>
        <w:t>PROGRAMA VIDA UNIVERSITARIA</w:t>
      </w:r>
    </w:p>
    <w:p w:rsidR="00F87902" w:rsidRDefault="00A519F9">
      <w:pPr>
        <w:tabs>
          <w:tab w:val="left" w:pos="1890"/>
          <w:tab w:val="center" w:pos="4681"/>
        </w:tabs>
        <w:jc w:val="center"/>
        <w:rPr>
          <w:rFonts w:ascii="Arial" w:hAnsi="Arial" w:cs="Arial"/>
          <w:b/>
        </w:rPr>
      </w:pPr>
      <w:r>
        <w:rPr>
          <w:rFonts w:ascii="Arial" w:hAnsi="Arial" w:cs="Arial"/>
          <w:b/>
        </w:rPr>
        <w:t>ASIGNACIÓN Y EJECUCIÓN</w:t>
      </w:r>
    </w:p>
    <w:p w:rsidR="00F87902" w:rsidRDefault="00A519F9">
      <w:pPr>
        <w:tabs>
          <w:tab w:val="left" w:pos="1890"/>
          <w:tab w:val="center" w:pos="4681"/>
        </w:tabs>
        <w:jc w:val="center"/>
        <w:rPr>
          <w:lang w:val="es-CR" w:eastAsia="es-CR"/>
        </w:rPr>
      </w:pPr>
      <w:r>
        <w:rPr>
          <w:rFonts w:ascii="Arial" w:hAnsi="Arial" w:cs="Arial"/>
        </w:rPr>
        <w:t>–</w:t>
      </w:r>
      <w:r>
        <w:rPr>
          <w:rFonts w:ascii="Arial" w:hAnsi="Arial" w:cs="Arial"/>
          <w:b/>
        </w:rPr>
        <w:t>Al 31 de diciembre del 2015</w:t>
      </w:r>
      <w:r>
        <w:rPr>
          <w:rFonts w:ascii="Arial" w:hAnsi="Arial" w:cs="Arial"/>
        </w:rPr>
        <w:t>–</w:t>
      </w:r>
    </w:p>
    <w:p w:rsidR="00F87902" w:rsidRDefault="00A519F9">
      <w:pPr>
        <w:tabs>
          <w:tab w:val="left" w:pos="1890"/>
          <w:tab w:val="center" w:pos="4681"/>
        </w:tabs>
        <w:jc w:val="center"/>
        <w:rPr>
          <w:rFonts w:ascii="Arial" w:hAnsi="Arial" w:cs="Arial"/>
          <w:b/>
          <w:color w:val="0070C0"/>
          <w:lang w:val="es-CR" w:eastAsia="es-CR"/>
        </w:rPr>
      </w:pPr>
      <w:r>
        <w:rPr>
          <w:noProof/>
          <w:lang w:val="es-CR" w:eastAsia="es-CR"/>
        </w:rPr>
        <w:drawing>
          <wp:inline distT="0" distB="0" distL="0" distR="0">
            <wp:extent cx="4227195" cy="2760980"/>
            <wp:effectExtent l="0" t="0" r="1905"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7902" w:rsidRDefault="00A519F9">
      <w:pPr>
        <w:spacing w:line="360" w:lineRule="auto"/>
        <w:ind w:left="1134"/>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En el cuadro que se presenta seguidamente se puede observar el grado de ejecución porcentual de cada uno de los objetivos del Programa Vida Universitaria al 31 de diciembre del 2015.</w:t>
      </w:r>
    </w:p>
    <w:p w:rsidR="00F87902" w:rsidRDefault="00A519F9">
      <w:pPr>
        <w:rPr>
          <w:rFonts w:ascii="Arial" w:hAnsi="Arial" w:cs="Arial"/>
          <w:color w:val="0070C0"/>
        </w:rPr>
      </w:pPr>
      <w:r>
        <w:br w:type="page"/>
      </w:r>
    </w:p>
    <w:p w:rsidR="00F87902" w:rsidRDefault="00A519F9">
      <w:pPr>
        <w:jc w:val="center"/>
        <w:rPr>
          <w:rFonts w:ascii="Arial" w:hAnsi="Arial" w:cs="Arial"/>
          <w:b/>
        </w:rPr>
      </w:pPr>
      <w:r>
        <w:rPr>
          <w:rFonts w:ascii="Arial" w:hAnsi="Arial" w:cs="Arial"/>
          <w:b/>
        </w:rPr>
        <w:lastRenderedPageBreak/>
        <w:t>CUADRO N°9</w:t>
      </w:r>
    </w:p>
    <w:p w:rsidR="00F87902" w:rsidRDefault="00A519F9">
      <w:pPr>
        <w:jc w:val="center"/>
        <w:rPr>
          <w:rFonts w:ascii="Arial" w:hAnsi="Arial" w:cs="Arial"/>
          <w:b/>
        </w:rPr>
      </w:pPr>
      <w:r>
        <w:rPr>
          <w:rFonts w:ascii="Arial" w:hAnsi="Arial" w:cs="Arial"/>
          <w:b/>
        </w:rPr>
        <w:t>PROGRAMA VIDA UNIVERSITARIA</w:t>
      </w:r>
    </w:p>
    <w:p w:rsidR="00F87902" w:rsidRDefault="00F87902">
      <w:pPr>
        <w:jc w:val="center"/>
        <w:rPr>
          <w:rFonts w:ascii="Arial" w:hAnsi="Arial" w:cs="Arial"/>
          <w:b/>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rPr>
      </w:pPr>
    </w:p>
    <w:tbl>
      <w:tblPr>
        <w:tblW w:w="8931" w:type="dxa"/>
        <w:jc w:val="center"/>
        <w:tblBorders>
          <w:top w:val="single" w:sz="18" w:space="0" w:color="00000A"/>
        </w:tblBorders>
        <w:tblLook w:val="04A0"/>
      </w:tblPr>
      <w:tblGrid>
        <w:gridCol w:w="1403"/>
        <w:gridCol w:w="1562"/>
        <w:gridCol w:w="2465"/>
        <w:gridCol w:w="233"/>
        <w:gridCol w:w="1810"/>
        <w:gridCol w:w="1458"/>
      </w:tblGrid>
      <w:tr w:rsidR="00F87902">
        <w:trPr>
          <w:jc w:val="center"/>
        </w:trPr>
        <w:tc>
          <w:tcPr>
            <w:tcW w:w="1403" w:type="dxa"/>
            <w:vMerge w:val="restart"/>
            <w:tcBorders>
              <w:top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 xml:space="preserve">Objetivos </w:t>
            </w:r>
          </w:p>
        </w:tc>
        <w:tc>
          <w:tcPr>
            <w:tcW w:w="4026"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Presupuesto</w:t>
            </w:r>
          </w:p>
        </w:tc>
        <w:tc>
          <w:tcPr>
            <w:tcW w:w="233" w:type="dxa"/>
            <w:tcBorders>
              <w:top w:val="single" w:sz="18" w:space="0" w:color="00000A"/>
            </w:tcBorders>
            <w:shd w:val="clear" w:color="auto" w:fill="auto"/>
          </w:tcPr>
          <w:p w:rsidR="00F87902" w:rsidRDefault="00F87902">
            <w:pPr>
              <w:jc w:val="center"/>
              <w:rPr>
                <w:rFonts w:ascii="Arial" w:hAnsi="Arial" w:cs="Arial"/>
                <w:b/>
                <w:sz w:val="20"/>
                <w:szCs w:val="20"/>
              </w:rPr>
            </w:pPr>
          </w:p>
        </w:tc>
        <w:tc>
          <w:tcPr>
            <w:tcW w:w="3268"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Ejecución</w:t>
            </w:r>
          </w:p>
        </w:tc>
      </w:tr>
      <w:tr w:rsidR="00F87902">
        <w:trPr>
          <w:jc w:val="center"/>
        </w:trPr>
        <w:tc>
          <w:tcPr>
            <w:tcW w:w="1403"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sz w:val="20"/>
                <w:szCs w:val="20"/>
              </w:rPr>
            </w:pPr>
          </w:p>
        </w:tc>
        <w:tc>
          <w:tcPr>
            <w:tcW w:w="1562"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0"/>
                <w:szCs w:val="20"/>
                <w:vertAlign w:val="superscript"/>
              </w:rPr>
            </w:pPr>
            <w:r>
              <w:rPr>
                <w:rFonts w:ascii="Arial" w:hAnsi="Arial" w:cs="Arial"/>
                <w:b/>
                <w:sz w:val="20"/>
                <w:szCs w:val="20"/>
              </w:rPr>
              <w:t>Inicial</w:t>
            </w:r>
            <w:r>
              <w:rPr>
                <w:rFonts w:ascii="Arial" w:hAnsi="Arial" w:cs="Arial"/>
                <w:b/>
                <w:sz w:val="20"/>
                <w:szCs w:val="20"/>
                <w:vertAlign w:val="superscript"/>
              </w:rPr>
              <w:t>(1)</w:t>
            </w:r>
          </w:p>
        </w:tc>
        <w:tc>
          <w:tcPr>
            <w:tcW w:w="2465"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0"/>
                <w:szCs w:val="20"/>
                <w:vertAlign w:val="superscript"/>
              </w:rPr>
            </w:pPr>
            <w:r>
              <w:rPr>
                <w:rFonts w:ascii="Arial" w:hAnsi="Arial" w:cs="Arial"/>
                <w:b/>
                <w:sz w:val="20"/>
                <w:szCs w:val="20"/>
              </w:rPr>
              <w:t>Modificado</w:t>
            </w:r>
            <w:r>
              <w:rPr>
                <w:rFonts w:ascii="Arial" w:hAnsi="Arial" w:cs="Arial"/>
                <w:b/>
                <w:sz w:val="20"/>
                <w:szCs w:val="20"/>
                <w:vertAlign w:val="superscript"/>
              </w:rPr>
              <w:t>(2)</w:t>
            </w:r>
          </w:p>
        </w:tc>
        <w:tc>
          <w:tcPr>
            <w:tcW w:w="233" w:type="dxa"/>
            <w:tcBorders>
              <w:top w:val="single" w:sz="12" w:space="0" w:color="00000A"/>
              <w:bottom w:val="single" w:sz="12" w:space="0" w:color="00000A"/>
            </w:tcBorders>
            <w:shd w:val="clear" w:color="auto" w:fill="auto"/>
          </w:tcPr>
          <w:p w:rsidR="00F87902" w:rsidRDefault="00F87902">
            <w:pPr>
              <w:jc w:val="center"/>
              <w:rPr>
                <w:rFonts w:ascii="Arial" w:hAnsi="Arial" w:cs="Arial"/>
                <w:b/>
                <w:sz w:val="20"/>
                <w:szCs w:val="20"/>
              </w:rPr>
            </w:pPr>
          </w:p>
        </w:tc>
        <w:tc>
          <w:tcPr>
            <w:tcW w:w="1810"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Absoluto</w:t>
            </w:r>
          </w:p>
        </w:tc>
        <w:tc>
          <w:tcPr>
            <w:tcW w:w="1457" w:type="dxa"/>
            <w:tcBorders>
              <w:top w:val="single" w:sz="8" w:space="0" w:color="00000A"/>
              <w:bottom w:val="single" w:sz="12" w:space="0" w:color="00000A"/>
            </w:tcBorders>
            <w:shd w:val="clear" w:color="auto" w:fill="auto"/>
          </w:tcPr>
          <w:p w:rsidR="00F87902" w:rsidRDefault="00A519F9">
            <w:pPr>
              <w:jc w:val="center"/>
              <w:rPr>
                <w:rFonts w:ascii="Arial" w:hAnsi="Arial" w:cs="Arial"/>
                <w:b/>
                <w:sz w:val="20"/>
                <w:szCs w:val="20"/>
                <w:vertAlign w:val="superscript"/>
              </w:rPr>
            </w:pPr>
            <w:r>
              <w:rPr>
                <w:rFonts w:ascii="Arial" w:hAnsi="Arial" w:cs="Arial"/>
                <w:b/>
                <w:sz w:val="20"/>
                <w:szCs w:val="20"/>
              </w:rPr>
              <w:t>Relativo</w:t>
            </w:r>
            <w:r>
              <w:rPr>
                <w:rFonts w:ascii="Arial" w:hAnsi="Arial" w:cs="Arial"/>
                <w:b/>
                <w:sz w:val="20"/>
                <w:szCs w:val="20"/>
                <w:vertAlign w:val="superscript"/>
              </w:rPr>
              <w:t>(3)</w:t>
            </w:r>
          </w:p>
        </w:tc>
      </w:tr>
      <w:tr w:rsidR="00F87902">
        <w:trPr>
          <w:jc w:val="center"/>
        </w:trPr>
        <w:tc>
          <w:tcPr>
            <w:tcW w:w="1403"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1</w:t>
            </w:r>
          </w:p>
        </w:tc>
        <w:tc>
          <w:tcPr>
            <w:tcW w:w="1562" w:type="dxa"/>
            <w:tcBorders>
              <w:top w:val="single" w:sz="12" w:space="0" w:color="00000A"/>
            </w:tcBorders>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11.611,2</w:t>
            </w:r>
          </w:p>
        </w:tc>
        <w:tc>
          <w:tcPr>
            <w:tcW w:w="2465" w:type="dxa"/>
            <w:tcBorders>
              <w:top w:val="single" w:sz="12" w:space="0" w:color="00000A"/>
            </w:tcBorders>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12.398,1</w:t>
            </w:r>
          </w:p>
        </w:tc>
        <w:tc>
          <w:tcPr>
            <w:tcW w:w="233" w:type="dxa"/>
            <w:tcBorders>
              <w:top w:val="single" w:sz="12" w:space="0" w:color="00000A"/>
            </w:tcBorders>
            <w:shd w:val="clear" w:color="auto" w:fill="auto"/>
          </w:tcPr>
          <w:p w:rsidR="00F87902" w:rsidRDefault="00F87902">
            <w:pPr>
              <w:ind w:left="283" w:right="907"/>
              <w:jc w:val="center"/>
              <w:rPr>
                <w:rFonts w:ascii="Arial" w:hAnsi="Arial" w:cs="Arial"/>
                <w:bCs/>
                <w:color w:val="0070C0"/>
                <w:sz w:val="20"/>
                <w:szCs w:val="20"/>
              </w:rPr>
            </w:pPr>
          </w:p>
        </w:tc>
        <w:tc>
          <w:tcPr>
            <w:tcW w:w="1810" w:type="dxa"/>
            <w:tcBorders>
              <w:top w:val="single" w:sz="12" w:space="0" w:color="00000A"/>
            </w:tcBorders>
            <w:shd w:val="clear" w:color="auto" w:fill="auto"/>
            <w:vAlign w:val="bottom"/>
          </w:tcPr>
          <w:p w:rsidR="00F87902" w:rsidRDefault="00A519F9">
            <w:pPr>
              <w:ind w:left="283" w:right="454"/>
              <w:jc w:val="right"/>
              <w:rPr>
                <w:rFonts w:ascii="Arial" w:hAnsi="Arial" w:cs="Arial"/>
                <w:sz w:val="20"/>
                <w:szCs w:val="20"/>
              </w:rPr>
            </w:pPr>
            <w:r>
              <w:rPr>
                <w:rFonts w:ascii="Arial" w:hAnsi="Arial" w:cs="Arial"/>
                <w:sz w:val="20"/>
                <w:szCs w:val="20"/>
              </w:rPr>
              <w:t>11.234,7</w:t>
            </w:r>
          </w:p>
        </w:tc>
        <w:tc>
          <w:tcPr>
            <w:tcW w:w="1457"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90,6%</w:t>
            </w:r>
          </w:p>
        </w:tc>
      </w:tr>
      <w:tr w:rsidR="00F87902">
        <w:trPr>
          <w:jc w:val="center"/>
        </w:trPr>
        <w:tc>
          <w:tcPr>
            <w:tcW w:w="1403" w:type="dxa"/>
            <w:shd w:val="clear" w:color="auto" w:fill="auto"/>
          </w:tcPr>
          <w:p w:rsidR="00F87902" w:rsidRDefault="00A519F9">
            <w:pPr>
              <w:jc w:val="center"/>
              <w:rPr>
                <w:rFonts w:ascii="Arial" w:hAnsi="Arial" w:cs="Arial"/>
                <w:b/>
                <w:sz w:val="20"/>
                <w:szCs w:val="20"/>
              </w:rPr>
            </w:pPr>
            <w:r>
              <w:rPr>
                <w:rFonts w:ascii="Arial" w:hAnsi="Arial" w:cs="Arial"/>
                <w:b/>
                <w:sz w:val="20"/>
                <w:szCs w:val="20"/>
              </w:rPr>
              <w:t>2</w:t>
            </w:r>
          </w:p>
        </w:tc>
        <w:tc>
          <w:tcPr>
            <w:tcW w:w="1562"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3.222,8</w:t>
            </w:r>
          </w:p>
        </w:tc>
        <w:tc>
          <w:tcPr>
            <w:tcW w:w="246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3.521,3</w:t>
            </w:r>
          </w:p>
        </w:tc>
        <w:tc>
          <w:tcPr>
            <w:tcW w:w="233" w:type="dxa"/>
            <w:shd w:val="clear" w:color="auto" w:fill="auto"/>
          </w:tcPr>
          <w:p w:rsidR="00F87902" w:rsidRDefault="00F87902">
            <w:pPr>
              <w:jc w:val="center"/>
              <w:rPr>
                <w:rFonts w:ascii="Arial" w:hAnsi="Arial" w:cs="Arial"/>
                <w:color w:val="0070C0"/>
                <w:sz w:val="20"/>
                <w:szCs w:val="20"/>
              </w:rPr>
            </w:pPr>
          </w:p>
        </w:tc>
        <w:tc>
          <w:tcPr>
            <w:tcW w:w="1810" w:type="dxa"/>
            <w:shd w:val="clear" w:color="auto" w:fill="auto"/>
            <w:vAlign w:val="bottom"/>
          </w:tcPr>
          <w:p w:rsidR="00F87902" w:rsidRDefault="00A519F9">
            <w:pPr>
              <w:ind w:left="283" w:right="454"/>
              <w:jc w:val="right"/>
              <w:rPr>
                <w:rFonts w:ascii="Arial" w:hAnsi="Arial" w:cs="Arial"/>
                <w:sz w:val="20"/>
                <w:szCs w:val="20"/>
              </w:rPr>
            </w:pPr>
            <w:r>
              <w:rPr>
                <w:rFonts w:ascii="Arial" w:hAnsi="Arial" w:cs="Arial"/>
                <w:sz w:val="20"/>
                <w:szCs w:val="20"/>
              </w:rPr>
              <w:t>2.933,8</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83,3%</w:t>
            </w:r>
          </w:p>
        </w:tc>
      </w:tr>
      <w:tr w:rsidR="00F87902">
        <w:trPr>
          <w:jc w:val="center"/>
        </w:trPr>
        <w:tc>
          <w:tcPr>
            <w:tcW w:w="1403" w:type="dxa"/>
            <w:shd w:val="clear" w:color="auto" w:fill="auto"/>
          </w:tcPr>
          <w:p w:rsidR="00F87902" w:rsidRDefault="00A519F9">
            <w:pPr>
              <w:jc w:val="center"/>
              <w:rPr>
                <w:rFonts w:ascii="Arial" w:hAnsi="Arial" w:cs="Arial"/>
                <w:b/>
                <w:sz w:val="20"/>
                <w:szCs w:val="20"/>
              </w:rPr>
            </w:pPr>
            <w:r>
              <w:rPr>
                <w:rFonts w:ascii="Arial" w:hAnsi="Arial" w:cs="Arial"/>
                <w:b/>
                <w:sz w:val="20"/>
                <w:szCs w:val="20"/>
              </w:rPr>
              <w:t>3</w:t>
            </w:r>
          </w:p>
        </w:tc>
        <w:tc>
          <w:tcPr>
            <w:tcW w:w="1562"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3.085,3</w:t>
            </w:r>
          </w:p>
        </w:tc>
        <w:tc>
          <w:tcPr>
            <w:tcW w:w="246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3.345,6</w:t>
            </w:r>
          </w:p>
        </w:tc>
        <w:tc>
          <w:tcPr>
            <w:tcW w:w="233" w:type="dxa"/>
            <w:shd w:val="clear" w:color="auto" w:fill="auto"/>
          </w:tcPr>
          <w:p w:rsidR="00F87902" w:rsidRDefault="00F87902">
            <w:pPr>
              <w:jc w:val="center"/>
              <w:rPr>
                <w:rFonts w:ascii="Arial" w:hAnsi="Arial" w:cs="Arial"/>
                <w:color w:val="0070C0"/>
                <w:sz w:val="20"/>
                <w:szCs w:val="20"/>
              </w:rPr>
            </w:pPr>
          </w:p>
        </w:tc>
        <w:tc>
          <w:tcPr>
            <w:tcW w:w="1810" w:type="dxa"/>
            <w:shd w:val="clear" w:color="auto" w:fill="auto"/>
            <w:vAlign w:val="bottom"/>
          </w:tcPr>
          <w:p w:rsidR="00F87902" w:rsidRDefault="00A519F9">
            <w:pPr>
              <w:ind w:left="283" w:right="454"/>
              <w:jc w:val="right"/>
              <w:rPr>
                <w:rFonts w:ascii="Arial" w:hAnsi="Arial" w:cs="Arial"/>
                <w:sz w:val="20"/>
                <w:szCs w:val="20"/>
              </w:rPr>
            </w:pPr>
            <w:r>
              <w:rPr>
                <w:rFonts w:ascii="Arial" w:hAnsi="Arial" w:cs="Arial"/>
                <w:sz w:val="20"/>
                <w:szCs w:val="20"/>
              </w:rPr>
              <w:t>2.683,9</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80,2%</w:t>
            </w:r>
          </w:p>
        </w:tc>
      </w:tr>
      <w:tr w:rsidR="00F87902">
        <w:trPr>
          <w:jc w:val="center"/>
        </w:trPr>
        <w:tc>
          <w:tcPr>
            <w:tcW w:w="1403" w:type="dxa"/>
            <w:shd w:val="clear" w:color="auto" w:fill="auto"/>
          </w:tcPr>
          <w:p w:rsidR="00F87902" w:rsidRDefault="00A519F9">
            <w:pPr>
              <w:jc w:val="center"/>
              <w:rPr>
                <w:rFonts w:ascii="Arial" w:hAnsi="Arial" w:cs="Arial"/>
                <w:b/>
                <w:sz w:val="20"/>
                <w:szCs w:val="20"/>
              </w:rPr>
            </w:pPr>
            <w:r>
              <w:rPr>
                <w:rFonts w:ascii="Arial" w:hAnsi="Arial" w:cs="Arial"/>
                <w:b/>
                <w:sz w:val="20"/>
                <w:szCs w:val="20"/>
              </w:rPr>
              <w:t>4</w:t>
            </w:r>
          </w:p>
        </w:tc>
        <w:tc>
          <w:tcPr>
            <w:tcW w:w="1562"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1.915,4</w:t>
            </w:r>
          </w:p>
        </w:tc>
        <w:tc>
          <w:tcPr>
            <w:tcW w:w="246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2.886,7</w:t>
            </w:r>
          </w:p>
        </w:tc>
        <w:tc>
          <w:tcPr>
            <w:tcW w:w="233" w:type="dxa"/>
            <w:shd w:val="clear" w:color="auto" w:fill="auto"/>
          </w:tcPr>
          <w:p w:rsidR="00F87902" w:rsidRDefault="00F87902">
            <w:pPr>
              <w:jc w:val="center"/>
              <w:rPr>
                <w:rFonts w:ascii="Arial" w:hAnsi="Arial" w:cs="Arial"/>
                <w:color w:val="0070C0"/>
                <w:sz w:val="20"/>
                <w:szCs w:val="20"/>
              </w:rPr>
            </w:pPr>
          </w:p>
        </w:tc>
        <w:tc>
          <w:tcPr>
            <w:tcW w:w="1810" w:type="dxa"/>
            <w:shd w:val="clear" w:color="auto" w:fill="auto"/>
            <w:vAlign w:val="bottom"/>
          </w:tcPr>
          <w:p w:rsidR="00F87902" w:rsidRDefault="00A519F9">
            <w:pPr>
              <w:ind w:left="283" w:right="454"/>
              <w:jc w:val="right"/>
              <w:rPr>
                <w:rFonts w:ascii="Arial" w:hAnsi="Arial" w:cs="Arial"/>
                <w:sz w:val="20"/>
                <w:szCs w:val="20"/>
              </w:rPr>
            </w:pPr>
            <w:r>
              <w:rPr>
                <w:rFonts w:ascii="Arial" w:hAnsi="Arial" w:cs="Arial"/>
                <w:sz w:val="20"/>
                <w:szCs w:val="20"/>
              </w:rPr>
              <w:t>108,6</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3,8%</w:t>
            </w:r>
          </w:p>
        </w:tc>
      </w:tr>
      <w:tr w:rsidR="00F87902">
        <w:trPr>
          <w:trHeight w:val="87"/>
          <w:jc w:val="center"/>
        </w:trPr>
        <w:tc>
          <w:tcPr>
            <w:tcW w:w="1403" w:type="dxa"/>
            <w:shd w:val="clear" w:color="auto" w:fill="auto"/>
          </w:tcPr>
          <w:p w:rsidR="00F87902" w:rsidRDefault="00F87902">
            <w:pPr>
              <w:jc w:val="center"/>
              <w:rPr>
                <w:rFonts w:ascii="Arial" w:hAnsi="Arial" w:cs="Arial"/>
                <w:b/>
                <w:sz w:val="20"/>
                <w:szCs w:val="20"/>
              </w:rPr>
            </w:pPr>
          </w:p>
        </w:tc>
        <w:tc>
          <w:tcPr>
            <w:tcW w:w="1562" w:type="dxa"/>
            <w:shd w:val="clear" w:color="auto" w:fill="auto"/>
            <w:vAlign w:val="bottom"/>
          </w:tcPr>
          <w:p w:rsidR="00F87902" w:rsidRDefault="00F87902">
            <w:pPr>
              <w:ind w:left="283" w:right="283"/>
              <w:jc w:val="right"/>
              <w:rPr>
                <w:rFonts w:ascii="Arial" w:hAnsi="Arial" w:cs="Arial"/>
                <w:sz w:val="20"/>
                <w:szCs w:val="20"/>
              </w:rPr>
            </w:pPr>
          </w:p>
        </w:tc>
        <w:tc>
          <w:tcPr>
            <w:tcW w:w="2465" w:type="dxa"/>
            <w:shd w:val="clear" w:color="auto" w:fill="auto"/>
            <w:vAlign w:val="bottom"/>
          </w:tcPr>
          <w:p w:rsidR="00F87902" w:rsidRDefault="00F87902">
            <w:pPr>
              <w:ind w:left="283" w:right="794"/>
              <w:jc w:val="right"/>
              <w:rPr>
                <w:rFonts w:ascii="Arial" w:hAnsi="Arial" w:cs="Arial"/>
                <w:sz w:val="20"/>
                <w:szCs w:val="20"/>
              </w:rPr>
            </w:pPr>
          </w:p>
        </w:tc>
        <w:tc>
          <w:tcPr>
            <w:tcW w:w="233" w:type="dxa"/>
            <w:shd w:val="clear" w:color="auto" w:fill="auto"/>
          </w:tcPr>
          <w:p w:rsidR="00F87902" w:rsidRDefault="00F87902">
            <w:pPr>
              <w:jc w:val="center"/>
              <w:rPr>
                <w:rFonts w:ascii="Arial" w:hAnsi="Arial" w:cs="Arial"/>
                <w:color w:val="0070C0"/>
                <w:sz w:val="20"/>
                <w:szCs w:val="20"/>
              </w:rPr>
            </w:pPr>
          </w:p>
        </w:tc>
        <w:tc>
          <w:tcPr>
            <w:tcW w:w="1810" w:type="dxa"/>
            <w:shd w:val="clear" w:color="auto" w:fill="auto"/>
            <w:vAlign w:val="bottom"/>
          </w:tcPr>
          <w:p w:rsidR="00F87902" w:rsidRDefault="00F87902">
            <w:pPr>
              <w:ind w:left="283" w:right="454"/>
              <w:jc w:val="right"/>
              <w:rPr>
                <w:rFonts w:ascii="Arial" w:hAnsi="Arial" w:cs="Arial"/>
                <w:sz w:val="20"/>
                <w:szCs w:val="20"/>
              </w:rPr>
            </w:pPr>
          </w:p>
        </w:tc>
        <w:tc>
          <w:tcPr>
            <w:tcW w:w="1457" w:type="dxa"/>
            <w:shd w:val="clear" w:color="auto" w:fill="auto"/>
            <w:vAlign w:val="bottom"/>
          </w:tcPr>
          <w:p w:rsidR="00F87902" w:rsidRDefault="00F87902">
            <w:pPr>
              <w:ind w:left="283" w:right="340"/>
              <w:jc w:val="right"/>
              <w:rPr>
                <w:rFonts w:ascii="Arial" w:hAnsi="Arial" w:cs="Arial"/>
                <w:sz w:val="20"/>
                <w:szCs w:val="20"/>
              </w:rPr>
            </w:pPr>
          </w:p>
        </w:tc>
      </w:tr>
      <w:tr w:rsidR="00F87902">
        <w:trPr>
          <w:jc w:val="center"/>
        </w:trPr>
        <w:tc>
          <w:tcPr>
            <w:tcW w:w="1403" w:type="dxa"/>
            <w:shd w:val="clear" w:color="auto" w:fill="auto"/>
          </w:tcPr>
          <w:p w:rsidR="00F87902" w:rsidRDefault="00F87902">
            <w:pPr>
              <w:jc w:val="center"/>
              <w:rPr>
                <w:rFonts w:ascii="Arial" w:hAnsi="Arial" w:cs="Arial"/>
                <w:b/>
                <w:sz w:val="20"/>
                <w:szCs w:val="20"/>
              </w:rPr>
            </w:pPr>
          </w:p>
        </w:tc>
        <w:tc>
          <w:tcPr>
            <w:tcW w:w="1562" w:type="dxa"/>
            <w:shd w:val="clear" w:color="auto" w:fill="auto"/>
            <w:vAlign w:val="bottom"/>
          </w:tcPr>
          <w:p w:rsidR="00F87902" w:rsidRDefault="00F87902">
            <w:pPr>
              <w:ind w:left="283" w:right="283"/>
              <w:jc w:val="right"/>
              <w:rPr>
                <w:rFonts w:ascii="Arial" w:hAnsi="Arial" w:cs="Arial"/>
                <w:sz w:val="20"/>
                <w:szCs w:val="20"/>
              </w:rPr>
            </w:pPr>
          </w:p>
        </w:tc>
        <w:tc>
          <w:tcPr>
            <w:tcW w:w="2465" w:type="dxa"/>
            <w:shd w:val="clear" w:color="auto" w:fill="auto"/>
            <w:vAlign w:val="bottom"/>
          </w:tcPr>
          <w:p w:rsidR="00F87902" w:rsidRDefault="00F87902">
            <w:pPr>
              <w:ind w:left="283" w:right="794"/>
              <w:jc w:val="right"/>
              <w:rPr>
                <w:rFonts w:ascii="Arial" w:hAnsi="Arial" w:cs="Arial"/>
                <w:sz w:val="20"/>
                <w:szCs w:val="20"/>
              </w:rPr>
            </w:pPr>
          </w:p>
        </w:tc>
        <w:tc>
          <w:tcPr>
            <w:tcW w:w="233" w:type="dxa"/>
            <w:shd w:val="clear" w:color="auto" w:fill="auto"/>
          </w:tcPr>
          <w:p w:rsidR="00F87902" w:rsidRDefault="00F87902">
            <w:pPr>
              <w:jc w:val="center"/>
              <w:rPr>
                <w:rFonts w:ascii="Arial" w:hAnsi="Arial" w:cs="Arial"/>
                <w:color w:val="0070C0"/>
                <w:sz w:val="20"/>
                <w:szCs w:val="20"/>
              </w:rPr>
            </w:pPr>
          </w:p>
        </w:tc>
        <w:tc>
          <w:tcPr>
            <w:tcW w:w="1810" w:type="dxa"/>
            <w:shd w:val="clear" w:color="auto" w:fill="auto"/>
            <w:vAlign w:val="bottom"/>
          </w:tcPr>
          <w:p w:rsidR="00F87902" w:rsidRDefault="00F87902">
            <w:pPr>
              <w:ind w:left="283" w:right="454"/>
              <w:jc w:val="right"/>
              <w:rPr>
                <w:rFonts w:ascii="Arial" w:hAnsi="Arial" w:cs="Arial"/>
                <w:sz w:val="20"/>
                <w:szCs w:val="20"/>
              </w:rPr>
            </w:pPr>
          </w:p>
        </w:tc>
        <w:tc>
          <w:tcPr>
            <w:tcW w:w="1457" w:type="dxa"/>
            <w:shd w:val="clear" w:color="auto" w:fill="auto"/>
            <w:vAlign w:val="bottom"/>
          </w:tcPr>
          <w:p w:rsidR="00F87902" w:rsidRDefault="00F87902">
            <w:pPr>
              <w:ind w:left="283" w:right="340"/>
              <w:jc w:val="right"/>
              <w:rPr>
                <w:rFonts w:ascii="Arial" w:hAnsi="Arial" w:cs="Arial"/>
                <w:sz w:val="20"/>
                <w:szCs w:val="20"/>
              </w:rPr>
            </w:pPr>
          </w:p>
        </w:tc>
      </w:tr>
      <w:tr w:rsidR="00F87902">
        <w:trPr>
          <w:trHeight w:val="168"/>
          <w:jc w:val="center"/>
        </w:trPr>
        <w:tc>
          <w:tcPr>
            <w:tcW w:w="1403"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Total</w:t>
            </w:r>
          </w:p>
        </w:tc>
        <w:tc>
          <w:tcPr>
            <w:tcW w:w="1562" w:type="dxa"/>
            <w:tcBorders>
              <w:top w:val="single" w:sz="18" w:space="0" w:color="00000A"/>
              <w:bottom w:val="single" w:sz="18" w:space="0" w:color="00000A"/>
            </w:tcBorders>
            <w:shd w:val="clear" w:color="auto" w:fill="auto"/>
          </w:tcPr>
          <w:p w:rsidR="00F87902" w:rsidRDefault="00A519F9">
            <w:pPr>
              <w:ind w:left="283" w:right="283"/>
              <w:jc w:val="right"/>
              <w:rPr>
                <w:rFonts w:ascii="Arial" w:hAnsi="Arial" w:cs="Arial"/>
                <w:b/>
                <w:sz w:val="20"/>
                <w:szCs w:val="20"/>
              </w:rPr>
            </w:pPr>
            <w:r>
              <w:rPr>
                <w:rFonts w:ascii="Arial" w:hAnsi="Arial" w:cs="Arial"/>
                <w:b/>
                <w:sz w:val="20"/>
                <w:szCs w:val="20"/>
              </w:rPr>
              <w:t>19.834,7</w:t>
            </w:r>
          </w:p>
        </w:tc>
        <w:tc>
          <w:tcPr>
            <w:tcW w:w="2465" w:type="dxa"/>
            <w:tcBorders>
              <w:top w:val="single" w:sz="18" w:space="0" w:color="00000A"/>
              <w:bottom w:val="single" w:sz="18" w:space="0" w:color="00000A"/>
            </w:tcBorders>
            <w:shd w:val="clear" w:color="auto" w:fill="auto"/>
          </w:tcPr>
          <w:p w:rsidR="00F87902" w:rsidRDefault="00A519F9">
            <w:pPr>
              <w:ind w:left="283" w:right="794"/>
              <w:jc w:val="right"/>
              <w:rPr>
                <w:rFonts w:ascii="Arial" w:hAnsi="Arial" w:cs="Arial"/>
                <w:b/>
                <w:sz w:val="20"/>
                <w:szCs w:val="20"/>
              </w:rPr>
            </w:pPr>
            <w:r>
              <w:rPr>
                <w:rFonts w:ascii="Arial" w:hAnsi="Arial" w:cs="Arial"/>
                <w:b/>
                <w:sz w:val="20"/>
                <w:szCs w:val="20"/>
              </w:rPr>
              <w:t>22.151,7</w:t>
            </w:r>
          </w:p>
        </w:tc>
        <w:tc>
          <w:tcPr>
            <w:tcW w:w="233" w:type="dxa"/>
            <w:tcBorders>
              <w:top w:val="single" w:sz="18" w:space="0" w:color="00000A"/>
              <w:bottom w:val="single" w:sz="18" w:space="0" w:color="00000A"/>
            </w:tcBorders>
            <w:shd w:val="clear" w:color="auto" w:fill="auto"/>
          </w:tcPr>
          <w:p w:rsidR="00F87902" w:rsidRDefault="00F87902">
            <w:pPr>
              <w:jc w:val="center"/>
              <w:rPr>
                <w:rFonts w:ascii="Arial" w:hAnsi="Arial" w:cs="Arial"/>
                <w:b/>
                <w:color w:val="0070C0"/>
                <w:sz w:val="20"/>
                <w:szCs w:val="20"/>
              </w:rPr>
            </w:pPr>
          </w:p>
        </w:tc>
        <w:tc>
          <w:tcPr>
            <w:tcW w:w="1810" w:type="dxa"/>
            <w:tcBorders>
              <w:top w:val="single" w:sz="18" w:space="0" w:color="00000A"/>
              <w:bottom w:val="single" w:sz="18" w:space="0" w:color="00000A"/>
            </w:tcBorders>
            <w:shd w:val="clear" w:color="auto" w:fill="auto"/>
          </w:tcPr>
          <w:p w:rsidR="00F87902" w:rsidRDefault="00A519F9">
            <w:pPr>
              <w:ind w:left="283" w:right="454"/>
              <w:jc w:val="right"/>
              <w:rPr>
                <w:rFonts w:ascii="Arial" w:hAnsi="Arial" w:cs="Arial"/>
                <w:b/>
                <w:sz w:val="20"/>
                <w:szCs w:val="20"/>
              </w:rPr>
            </w:pPr>
            <w:r>
              <w:rPr>
                <w:rFonts w:ascii="Arial" w:hAnsi="Arial" w:cs="Arial"/>
                <w:b/>
                <w:sz w:val="20"/>
                <w:szCs w:val="20"/>
              </w:rPr>
              <w:t>16.961,0</w:t>
            </w:r>
          </w:p>
        </w:tc>
        <w:tc>
          <w:tcPr>
            <w:tcW w:w="1457"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76,6%</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A continuación se presenta el resumen de ejecución del desempeño por objetivos y metas para el  año 2015:</w:t>
      </w:r>
    </w:p>
    <w:p w:rsidR="00F87902" w:rsidRDefault="00F87902">
      <w:pPr>
        <w:ind w:left="720"/>
        <w:jc w:val="both"/>
        <w:rPr>
          <w:b/>
          <w:sz w:val="28"/>
          <w:u w:val="single"/>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Objetivo1. Brindar a la población estudiantil universitaria servicios de apoyo que le permitan mejorar su calidad de vida; mediante una gestión eficiente de procesos, asignación de becas y otros beneficios referidos a la vida universitaria, con particular atención a los estudiantes en desventaja social.</w:t>
      </w:r>
    </w:p>
    <w:p w:rsidR="00F87902" w:rsidRDefault="00F87902">
      <w:pPr>
        <w:spacing w:line="360" w:lineRule="auto"/>
        <w:jc w:val="both"/>
        <w:rPr>
          <w:rFonts w:ascii="Arial" w:hAnsi="Arial" w:cs="Arial"/>
          <w:b/>
        </w:rPr>
      </w:pPr>
    </w:p>
    <w:p w:rsidR="00F87902" w:rsidRDefault="00A519F9">
      <w:pPr>
        <w:spacing w:line="360" w:lineRule="auto"/>
        <w:ind w:left="720"/>
        <w:jc w:val="both"/>
        <w:rPr>
          <w:rFonts w:ascii="Arial" w:hAnsi="Arial" w:cs="Arial"/>
          <w:b/>
          <w:sz w:val="22"/>
          <w:szCs w:val="22"/>
        </w:rPr>
      </w:pPr>
      <w:r>
        <w:rPr>
          <w:rFonts w:ascii="Arial" w:hAnsi="Arial" w:cs="Arial"/>
          <w:b/>
        </w:rPr>
        <w:t>Meta</w:t>
      </w:r>
      <w:r>
        <w:rPr>
          <w:rFonts w:ascii="Arial" w:hAnsi="Arial" w:cs="Arial"/>
          <w:b/>
        </w:rPr>
        <w:tab/>
        <w:t xml:space="preserve">1.1 Otorgar 7.458 becas de diferente categoría: 5.383 por condición socioeconómica, 800 por participación relevante, 1.275 por rendimiento académico; así como asignar 1.390 ayudas (especiales, giras y movilidad estudiantil) y realizar 3.515 actividades de valoración psicosociales y de promoción de la salud.          </w:t>
      </w:r>
    </w:p>
    <w:p w:rsidR="00F87902" w:rsidRDefault="00F87902">
      <w:pPr>
        <w:ind w:left="720"/>
        <w:jc w:val="both"/>
        <w:rPr>
          <w:rFonts w:ascii="Arial" w:hAnsi="Arial" w:cs="Arial"/>
          <w:b/>
          <w:i/>
          <w:color w:val="E36C0A" w:themeColor="accent6" w:themeShade="BF"/>
          <w:sz w:val="22"/>
          <w:szCs w:val="22"/>
        </w:rPr>
      </w:pPr>
    </w:p>
    <w:p w:rsidR="00F87902" w:rsidRDefault="00A519F9">
      <w:pPr>
        <w:ind w:left="720"/>
        <w:jc w:val="both"/>
        <w:rPr>
          <w:rFonts w:ascii="Arial" w:hAnsi="Arial" w:cs="Arial"/>
          <w:sz w:val="22"/>
          <w:szCs w:val="22"/>
        </w:rPr>
      </w:pPr>
      <w:r>
        <w:rPr>
          <w:rFonts w:ascii="Arial" w:hAnsi="Arial" w:cs="Arial"/>
          <w:sz w:val="22"/>
          <w:szCs w:val="22"/>
        </w:rPr>
        <w:t xml:space="preserve">El cumplimiento durante el año es del </w:t>
      </w:r>
      <w:r>
        <w:rPr>
          <w:rFonts w:ascii="Arial" w:hAnsi="Arial" w:cs="Arial"/>
          <w:b/>
          <w:sz w:val="22"/>
          <w:szCs w:val="22"/>
        </w:rPr>
        <w:t>100%</w:t>
      </w:r>
      <w:r>
        <w:rPr>
          <w:rFonts w:ascii="Arial" w:hAnsi="Arial" w:cs="Arial"/>
          <w:sz w:val="22"/>
          <w:szCs w:val="22"/>
        </w:rPr>
        <w:t>, según resultados que se muestran a continuación (17.978), en que se deben ejecutar las diversas ayudas:</w:t>
      </w:r>
    </w:p>
    <w:p w:rsidR="00F87902" w:rsidRDefault="00F87902">
      <w:pPr>
        <w:ind w:left="720"/>
        <w:jc w:val="both"/>
        <w:rPr>
          <w:rFonts w:ascii="Arial" w:hAnsi="Arial" w:cs="Arial"/>
          <w:b/>
          <w:sz w:val="22"/>
          <w:szCs w:val="22"/>
        </w:rPr>
      </w:pPr>
    </w:p>
    <w:p w:rsidR="00F87902" w:rsidRDefault="00A519F9">
      <w:pPr>
        <w:numPr>
          <w:ilvl w:val="0"/>
          <w:numId w:val="2"/>
        </w:numPr>
        <w:ind w:left="1080"/>
        <w:jc w:val="both"/>
      </w:pPr>
      <w:r>
        <w:rPr>
          <w:rFonts w:ascii="Arial" w:hAnsi="Arial" w:cs="Arial"/>
          <w:b/>
          <w:sz w:val="22"/>
          <w:szCs w:val="22"/>
        </w:rPr>
        <w:t xml:space="preserve">7.341 becas </w:t>
      </w:r>
      <w:r>
        <w:rPr>
          <w:rFonts w:ascii="Arial" w:hAnsi="Arial" w:cs="Arial"/>
          <w:sz w:val="22"/>
          <w:szCs w:val="22"/>
        </w:rPr>
        <w:t xml:space="preserve">por condición socioeconómica otorgadas y </w:t>
      </w:r>
      <w:r>
        <w:rPr>
          <w:rFonts w:ascii="Arial" w:hAnsi="Arial" w:cs="Arial"/>
          <w:b/>
          <w:sz w:val="22"/>
          <w:szCs w:val="22"/>
        </w:rPr>
        <w:t>447</w:t>
      </w:r>
      <w:r>
        <w:rPr>
          <w:rFonts w:ascii="Arial" w:hAnsi="Arial" w:cs="Arial"/>
          <w:sz w:val="22"/>
          <w:szCs w:val="22"/>
        </w:rPr>
        <w:t xml:space="preserve"> por participación relevante. Además, </w:t>
      </w:r>
      <w:r>
        <w:rPr>
          <w:rFonts w:ascii="Arial" w:hAnsi="Arial" w:cs="Arial"/>
          <w:b/>
          <w:sz w:val="22"/>
          <w:szCs w:val="22"/>
        </w:rPr>
        <w:t>617 becas</w:t>
      </w:r>
      <w:r>
        <w:rPr>
          <w:rFonts w:ascii="Arial" w:hAnsi="Arial" w:cs="Arial"/>
          <w:sz w:val="22"/>
          <w:szCs w:val="22"/>
        </w:rPr>
        <w:t xml:space="preserve"> por rendimiento académico, </w:t>
      </w:r>
      <w:r>
        <w:rPr>
          <w:rFonts w:ascii="Arial" w:hAnsi="Arial" w:cs="Arial"/>
          <w:b/>
          <w:sz w:val="22"/>
          <w:szCs w:val="22"/>
        </w:rPr>
        <w:t>3.561 ayudas</w:t>
      </w:r>
      <w:r>
        <w:rPr>
          <w:rFonts w:ascii="Arial" w:hAnsi="Arial" w:cs="Arial"/>
          <w:sz w:val="22"/>
          <w:szCs w:val="22"/>
        </w:rPr>
        <w:t xml:space="preserve"> especiales, giras y movilidad estudiantil, y </w:t>
      </w:r>
      <w:r>
        <w:rPr>
          <w:rFonts w:ascii="Arial" w:hAnsi="Arial" w:cs="Arial"/>
          <w:b/>
          <w:sz w:val="22"/>
          <w:szCs w:val="22"/>
        </w:rPr>
        <w:t>6.012 actividades</w:t>
      </w:r>
      <w:r>
        <w:rPr>
          <w:rFonts w:ascii="Arial" w:hAnsi="Arial" w:cs="Arial"/>
          <w:sz w:val="22"/>
          <w:szCs w:val="22"/>
        </w:rPr>
        <w:t xml:space="preserve"> realizadas de valoración psicosocial y de promoción de la salud (más del 100% estimado).</w:t>
      </w:r>
    </w:p>
    <w:p w:rsidR="00F87902" w:rsidRDefault="00A519F9">
      <w:pPr>
        <w:spacing w:line="360" w:lineRule="auto"/>
        <w:ind w:left="720"/>
        <w:jc w:val="both"/>
        <w:rPr>
          <w:rFonts w:ascii="Arial" w:hAnsi="Arial" w:cs="Arial"/>
          <w:b/>
        </w:rPr>
      </w:pPr>
      <w:r>
        <w:rPr>
          <w:rFonts w:ascii="Arial" w:hAnsi="Arial" w:cs="Arial"/>
          <w:b/>
        </w:rPr>
        <w:lastRenderedPageBreak/>
        <w:t>Meta</w:t>
      </w:r>
      <w:r>
        <w:rPr>
          <w:rFonts w:ascii="Arial" w:hAnsi="Arial" w:cs="Arial"/>
          <w:b/>
        </w:rPr>
        <w:tab/>
        <w:t xml:space="preserve">1.2 Realizar 2.800 sesiones de orientación y asesoría a estudiantes según requerimientos (incluye 1.600 psicológicas, 800 del servicio de psicopedagogía, 300 en servicios de orientación individual, 100 en asesoramiento vocacional), y atender a 4.900 estudiantes (200 con necesidades educativas asociadas o no con discapacidad, brindar inducción a 700 estudiantes de primer ingreso y recibir 4.000 estudiantes de colegios en la actividad Puertas Abiertas).         </w:t>
      </w:r>
    </w:p>
    <w:p w:rsidR="00F87902" w:rsidRDefault="00F87902">
      <w:pPr>
        <w:ind w:left="720"/>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Con la atención de las sesiones descritas (11.530) en la meta el logro es del </w:t>
      </w:r>
      <w:r>
        <w:rPr>
          <w:rFonts w:ascii="Arial" w:hAnsi="Arial" w:cs="Arial"/>
          <w:b/>
          <w:sz w:val="22"/>
          <w:szCs w:val="22"/>
        </w:rPr>
        <w:t>100%</w:t>
      </w:r>
      <w:r>
        <w:rPr>
          <w:rFonts w:ascii="Arial" w:hAnsi="Arial" w:cs="Arial"/>
          <w:sz w:val="22"/>
          <w:szCs w:val="22"/>
        </w:rPr>
        <w:t xml:space="preserve">, respecto del cual se muestra un detalle que lo sustenta: </w:t>
      </w:r>
    </w:p>
    <w:p w:rsidR="00F87902" w:rsidRDefault="00F87902">
      <w:pPr>
        <w:ind w:left="708"/>
        <w:jc w:val="both"/>
        <w:rPr>
          <w:rFonts w:ascii="Arial" w:hAnsi="Arial" w:cs="Arial"/>
          <w:b/>
          <w:sz w:val="22"/>
          <w:szCs w:val="22"/>
        </w:rPr>
      </w:pPr>
    </w:p>
    <w:p w:rsidR="00F87902" w:rsidRDefault="00A519F9">
      <w:pPr>
        <w:numPr>
          <w:ilvl w:val="0"/>
          <w:numId w:val="2"/>
        </w:numPr>
        <w:ind w:left="1080"/>
        <w:jc w:val="both"/>
        <w:rPr>
          <w:rFonts w:ascii="Arial" w:hAnsi="Arial" w:cs="Arial"/>
          <w:sz w:val="22"/>
          <w:szCs w:val="22"/>
        </w:rPr>
      </w:pPr>
      <w:r>
        <w:rPr>
          <w:rFonts w:ascii="Arial" w:hAnsi="Arial" w:cs="Arial"/>
          <w:b/>
          <w:sz w:val="22"/>
          <w:szCs w:val="22"/>
        </w:rPr>
        <w:t>3.195 sesiones de orientación</w:t>
      </w:r>
      <w:r>
        <w:rPr>
          <w:rFonts w:ascii="Arial" w:hAnsi="Arial" w:cs="Arial"/>
          <w:sz w:val="22"/>
          <w:szCs w:val="22"/>
        </w:rPr>
        <w:t xml:space="preserve"> psicológica a estudiantes (más del 100% estimado), </w:t>
      </w:r>
      <w:r>
        <w:rPr>
          <w:rFonts w:ascii="Arial" w:hAnsi="Arial" w:cs="Arial"/>
          <w:b/>
          <w:sz w:val="22"/>
          <w:szCs w:val="22"/>
        </w:rPr>
        <w:t>1.968 sesiones</w:t>
      </w:r>
      <w:r>
        <w:rPr>
          <w:rFonts w:ascii="Arial" w:hAnsi="Arial" w:cs="Arial"/>
          <w:sz w:val="22"/>
          <w:szCs w:val="22"/>
        </w:rPr>
        <w:t xml:space="preserve"> de psicopedagogía, ambos con más del 100% estimado en formulación; además, </w:t>
      </w:r>
      <w:r>
        <w:rPr>
          <w:rFonts w:ascii="Arial" w:hAnsi="Arial" w:cs="Arial"/>
          <w:b/>
          <w:sz w:val="22"/>
          <w:szCs w:val="22"/>
        </w:rPr>
        <w:t>337 servicios</w:t>
      </w:r>
      <w:r>
        <w:rPr>
          <w:rFonts w:ascii="Arial" w:hAnsi="Arial" w:cs="Arial"/>
          <w:sz w:val="22"/>
          <w:szCs w:val="22"/>
        </w:rPr>
        <w:t xml:space="preserve"> de orientación individual, </w:t>
      </w:r>
      <w:r>
        <w:rPr>
          <w:rFonts w:ascii="Arial" w:hAnsi="Arial" w:cs="Arial"/>
          <w:b/>
          <w:sz w:val="22"/>
          <w:szCs w:val="22"/>
        </w:rPr>
        <w:t>183</w:t>
      </w:r>
      <w:r>
        <w:rPr>
          <w:rFonts w:ascii="Arial" w:hAnsi="Arial" w:cs="Arial"/>
          <w:sz w:val="22"/>
          <w:szCs w:val="22"/>
        </w:rPr>
        <w:t xml:space="preserve"> en asesoramiento vocacional (100%).</w:t>
      </w:r>
    </w:p>
    <w:p w:rsidR="00F87902" w:rsidRDefault="00F87902">
      <w:pPr>
        <w:ind w:left="1080"/>
        <w:jc w:val="both"/>
        <w:rPr>
          <w:rFonts w:ascii="Arial" w:hAnsi="Arial" w:cs="Arial"/>
          <w:sz w:val="22"/>
          <w:szCs w:val="22"/>
        </w:rPr>
      </w:pPr>
    </w:p>
    <w:p w:rsidR="00F87902" w:rsidRDefault="00A519F9">
      <w:pPr>
        <w:numPr>
          <w:ilvl w:val="0"/>
          <w:numId w:val="2"/>
        </w:numPr>
        <w:ind w:left="1080"/>
        <w:jc w:val="both"/>
        <w:rPr>
          <w:rFonts w:ascii="Arial" w:hAnsi="Arial" w:cs="Arial"/>
          <w:sz w:val="22"/>
          <w:szCs w:val="22"/>
        </w:rPr>
      </w:pPr>
      <w:r>
        <w:rPr>
          <w:rFonts w:ascii="Arial" w:hAnsi="Arial" w:cs="Arial"/>
          <w:b/>
          <w:sz w:val="22"/>
          <w:szCs w:val="22"/>
        </w:rPr>
        <w:t>241 estudiantes atendidos</w:t>
      </w:r>
      <w:r>
        <w:rPr>
          <w:rFonts w:ascii="Arial" w:hAnsi="Arial" w:cs="Arial"/>
          <w:sz w:val="22"/>
          <w:szCs w:val="22"/>
        </w:rPr>
        <w:t xml:space="preserve"> de aquellos con necesidad educativas asociadas o no con discapacidad (más del 100% estimado), y  </w:t>
      </w:r>
      <w:r>
        <w:rPr>
          <w:rFonts w:ascii="Arial" w:hAnsi="Arial" w:cs="Arial"/>
          <w:b/>
          <w:sz w:val="22"/>
          <w:szCs w:val="22"/>
        </w:rPr>
        <w:t>4.464 estudiantes</w:t>
      </w:r>
      <w:r>
        <w:rPr>
          <w:rFonts w:ascii="Arial" w:hAnsi="Arial" w:cs="Arial"/>
          <w:sz w:val="22"/>
          <w:szCs w:val="22"/>
        </w:rPr>
        <w:t xml:space="preserve"> de colegios en actividad Puertas Abiertas (más del 100% estimado). No se contó con la información respecto de inducción a estudiantes de primer ingreso. Inducción de la vida universitaria </w:t>
      </w:r>
      <w:r>
        <w:rPr>
          <w:rFonts w:ascii="Arial" w:hAnsi="Arial" w:cs="Arial"/>
          <w:b/>
          <w:sz w:val="22"/>
          <w:szCs w:val="22"/>
        </w:rPr>
        <w:t>1.142</w:t>
      </w:r>
      <w:r>
        <w:rPr>
          <w:rFonts w:ascii="Arial" w:hAnsi="Arial" w:cs="Arial"/>
          <w:sz w:val="22"/>
          <w:szCs w:val="22"/>
        </w:rPr>
        <w:t>.</w:t>
      </w:r>
    </w:p>
    <w:p w:rsidR="00F87902" w:rsidRDefault="00F87902">
      <w:pPr>
        <w:ind w:left="1080"/>
        <w:jc w:val="both"/>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spacing w:line="360" w:lineRule="auto"/>
        <w:ind w:left="720"/>
        <w:jc w:val="both"/>
        <w:rPr>
          <w:rFonts w:ascii="Arial" w:hAnsi="Arial" w:cs="Arial"/>
          <w:b/>
        </w:rPr>
      </w:pPr>
      <w:r>
        <w:rPr>
          <w:rFonts w:ascii="Arial" w:hAnsi="Arial" w:cs="Arial"/>
          <w:b/>
        </w:rPr>
        <w:t>Meta</w:t>
      </w:r>
      <w:r>
        <w:rPr>
          <w:rFonts w:ascii="Arial" w:hAnsi="Arial" w:cs="Arial"/>
          <w:b/>
        </w:rPr>
        <w:tab/>
        <w:t xml:space="preserve">1.3 Desarrollar 2.336 actividades deportivas, artísticas y recreativas (incluye 1.600 certificaciones de naturaleza cocurricular y 736 acciones) que propicien una vida universitaria integral.            </w:t>
      </w:r>
    </w:p>
    <w:p w:rsidR="00F87902" w:rsidRDefault="00F87902">
      <w:pPr>
        <w:ind w:left="720"/>
        <w:jc w:val="both"/>
        <w:rPr>
          <w:rFonts w:ascii="Arial" w:hAnsi="Arial" w:cs="Arial"/>
          <w:sz w:val="22"/>
          <w:szCs w:val="22"/>
        </w:rPr>
      </w:pPr>
    </w:p>
    <w:p w:rsidR="00F87902" w:rsidRDefault="00A519F9">
      <w:pPr>
        <w:ind w:left="708"/>
        <w:jc w:val="both"/>
        <w:rPr>
          <w:rFonts w:ascii="Arial" w:hAnsi="Arial" w:cs="Arial"/>
          <w:b/>
          <w:color w:val="E36C0A" w:themeColor="accent6" w:themeShade="BF"/>
          <w:sz w:val="22"/>
          <w:szCs w:val="22"/>
        </w:rPr>
      </w:pPr>
      <w:r>
        <w:rPr>
          <w:rFonts w:ascii="Arial" w:hAnsi="Arial" w:cs="Arial"/>
          <w:sz w:val="22"/>
          <w:szCs w:val="22"/>
        </w:rPr>
        <w:t xml:space="preserve">Entre las actividades desarrolladas (2.172) se encuentran las que a continuación se enumeran, de lo cual se deriva un cumplimiento del </w:t>
      </w:r>
      <w:r>
        <w:rPr>
          <w:rFonts w:ascii="Arial" w:hAnsi="Arial" w:cs="Arial"/>
          <w:b/>
          <w:sz w:val="22"/>
          <w:szCs w:val="22"/>
        </w:rPr>
        <w:t>93%</w:t>
      </w:r>
      <w:r>
        <w:rPr>
          <w:rFonts w:ascii="Arial" w:hAnsi="Arial" w:cs="Arial"/>
          <w:sz w:val="22"/>
          <w:szCs w:val="22"/>
        </w:rPr>
        <w:t xml:space="preserve">:   </w:t>
      </w:r>
    </w:p>
    <w:p w:rsidR="00F87902" w:rsidRDefault="00F87902">
      <w:pPr>
        <w:ind w:left="708"/>
        <w:jc w:val="both"/>
        <w:rPr>
          <w:rFonts w:ascii="Arial" w:hAnsi="Arial" w:cs="Arial"/>
          <w:b/>
          <w:i/>
          <w:color w:val="E36C0A" w:themeColor="accent6" w:themeShade="BF"/>
          <w:sz w:val="22"/>
          <w:szCs w:val="22"/>
        </w:rPr>
      </w:pPr>
    </w:p>
    <w:p w:rsidR="00F87902" w:rsidRDefault="00A519F9">
      <w:pPr>
        <w:numPr>
          <w:ilvl w:val="0"/>
          <w:numId w:val="1"/>
        </w:numPr>
        <w:ind w:left="1080"/>
        <w:jc w:val="both"/>
      </w:pPr>
      <w:r>
        <w:rPr>
          <w:rFonts w:ascii="Arial" w:hAnsi="Arial" w:cs="Arial"/>
          <w:b/>
          <w:sz w:val="22"/>
          <w:szCs w:val="22"/>
        </w:rPr>
        <w:t>324 becas culturales</w:t>
      </w:r>
      <w:r>
        <w:rPr>
          <w:rFonts w:ascii="Arial" w:hAnsi="Arial" w:cs="Arial"/>
          <w:sz w:val="22"/>
          <w:szCs w:val="22"/>
        </w:rPr>
        <w:t xml:space="preserve"> tramitadas (81%) así como </w:t>
      </w:r>
      <w:r>
        <w:rPr>
          <w:rFonts w:ascii="Arial" w:hAnsi="Arial" w:cs="Arial"/>
          <w:b/>
          <w:sz w:val="22"/>
          <w:szCs w:val="22"/>
        </w:rPr>
        <w:t>748 reconocimientos</w:t>
      </w:r>
      <w:r>
        <w:rPr>
          <w:rFonts w:ascii="Arial" w:hAnsi="Arial" w:cs="Arial"/>
          <w:sz w:val="22"/>
          <w:szCs w:val="22"/>
        </w:rPr>
        <w:t xml:space="preserve"> de la actividad cocurricular en el historial académico de estudiantes: se reportaron 298 estudiantes en el área artística, 175 en el área deportiva y se aplicaron 275 de talleres culturales (47%).     </w:t>
      </w:r>
    </w:p>
    <w:p w:rsidR="00F87902" w:rsidRDefault="00F87902">
      <w:pPr>
        <w:ind w:left="1080"/>
        <w:jc w:val="both"/>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1 participación</w:t>
      </w:r>
      <w:r>
        <w:rPr>
          <w:rFonts w:ascii="Arial" w:hAnsi="Arial" w:cs="Arial"/>
          <w:sz w:val="22"/>
          <w:szCs w:val="22"/>
        </w:rPr>
        <w:t xml:space="preserve"> en el Festival Interuniversitario de Vida Estudiantil (Frive) en el marco de </w:t>
      </w:r>
      <w:r>
        <w:rPr>
          <w:rFonts w:ascii="Arial" w:hAnsi="Arial" w:cs="Arial"/>
          <w:i/>
          <w:sz w:val="22"/>
          <w:szCs w:val="22"/>
        </w:rPr>
        <w:t>Conare</w:t>
      </w:r>
      <w:r>
        <w:rPr>
          <w:rFonts w:ascii="Arial" w:hAnsi="Arial" w:cs="Arial"/>
          <w:sz w:val="22"/>
          <w:szCs w:val="22"/>
        </w:rPr>
        <w:t xml:space="preserve"> (100%).   </w:t>
      </w:r>
    </w:p>
    <w:p w:rsidR="00F87902" w:rsidRDefault="00F87902">
      <w:pPr>
        <w:pStyle w:val="Prrafodelista"/>
        <w:rPr>
          <w:rFonts w:ascii="Arial" w:hAnsi="Arial" w:cs="Arial"/>
          <w:b/>
          <w:sz w:val="22"/>
          <w:szCs w:val="22"/>
        </w:rPr>
      </w:pPr>
    </w:p>
    <w:p w:rsidR="00F87902" w:rsidRDefault="00A519F9">
      <w:pPr>
        <w:numPr>
          <w:ilvl w:val="0"/>
          <w:numId w:val="1"/>
        </w:numPr>
        <w:ind w:left="1080"/>
        <w:jc w:val="both"/>
      </w:pPr>
      <w:r>
        <w:rPr>
          <w:rFonts w:ascii="Arial" w:hAnsi="Arial" w:cs="Arial"/>
          <w:b/>
          <w:sz w:val="22"/>
          <w:szCs w:val="22"/>
        </w:rPr>
        <w:t>34 talleres</w:t>
      </w:r>
      <w:r>
        <w:rPr>
          <w:rFonts w:ascii="Arial" w:hAnsi="Arial" w:cs="Arial"/>
          <w:sz w:val="22"/>
          <w:szCs w:val="22"/>
        </w:rPr>
        <w:t xml:space="preserve">: 20 en el área artística y 14 en el área deportiva, con un total de 566 personas matriculadas (85%).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10 campeonatos internos</w:t>
      </w:r>
      <w:r>
        <w:rPr>
          <w:rFonts w:ascii="Arial" w:hAnsi="Arial" w:cs="Arial"/>
          <w:sz w:val="22"/>
          <w:szCs w:val="22"/>
        </w:rPr>
        <w:t xml:space="preserve">: 8 torneos relámpago en fútbol femenino, tenis de mesa, voleibol mixto, fútbol sala mixto y baloncesto mixto, además de 1 campeonato interno en fútbol masculino, 1 campeonato fútbol sala femenino y masculino, con la participación de 520 hombres y 118 mujeres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lastRenderedPageBreak/>
        <w:t>36 encuentros meridianos</w:t>
      </w:r>
      <w:r>
        <w:rPr>
          <w:rFonts w:ascii="Arial" w:hAnsi="Arial" w:cs="Arial"/>
          <w:sz w:val="22"/>
          <w:szCs w:val="22"/>
        </w:rPr>
        <w:t xml:space="preserve">: presentación de 327 artistas, 83 grupos y solistas, y 2.050 personas como público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41 proyecciones de Cine en el Campus</w:t>
      </w:r>
      <w:r>
        <w:rPr>
          <w:rFonts w:ascii="Arial" w:hAnsi="Arial" w:cs="Arial"/>
          <w:sz w:val="22"/>
          <w:szCs w:val="22"/>
        </w:rPr>
        <w:t xml:space="preserve">, incluidos 10 cines foro, con la participación  de 717 personas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7 presentaciones de gala</w:t>
      </w:r>
      <w:r>
        <w:rPr>
          <w:rFonts w:ascii="Arial" w:hAnsi="Arial" w:cs="Arial"/>
          <w:sz w:val="22"/>
          <w:szCs w:val="22"/>
        </w:rPr>
        <w:t xml:space="preserve"> de los grupos representativos: Teatro Universitario, UNAnime, Rondalla UNA, Marimba UNA, Orquesta Latinoamericana de Cuerdas y  Bailes Populares Querube, Ballet Folclórico Barbac, Coro de la Sierra y Cuarteto de Sax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3 actividades</w:t>
      </w:r>
      <w:r>
        <w:rPr>
          <w:rFonts w:ascii="Arial" w:hAnsi="Arial" w:cs="Arial"/>
          <w:sz w:val="22"/>
          <w:szCs w:val="22"/>
        </w:rPr>
        <w:t xml:space="preserve"> de fomento a la interculturalidad en la UNA, incluyendo la celebración de fechas significativas para los pueblos indígenas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17 actividades</w:t>
      </w:r>
      <w:r>
        <w:rPr>
          <w:rFonts w:ascii="Arial" w:hAnsi="Arial" w:cs="Arial"/>
          <w:sz w:val="22"/>
          <w:szCs w:val="22"/>
        </w:rPr>
        <w:t xml:space="preserve"> como parte del equipo interdisciplinario de la Vicerrectoría de Vida Estudiantil en universidades promotoras de la salud: participación en Inducción a la Vida Universitaria (atención de 5.624 estudiantes), Jornada de Puertas Abiertas (101 instituciones de secundaria), Día del Deporte y celebración del Día del No Fumado; entre otras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7 talleres</w:t>
      </w:r>
      <w:r>
        <w:rPr>
          <w:rFonts w:ascii="Arial" w:hAnsi="Arial" w:cs="Arial"/>
          <w:sz w:val="22"/>
          <w:szCs w:val="22"/>
        </w:rPr>
        <w:t xml:space="preserve"> con los grupos recreativos estudiantiles en las sedes regionales, en el marco del Proyecto Recreativo en facultades y sedes: campus Alajuela, Sarapiquí, Liberia (2), Nicoya, Coto y Pérez Zeledón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103 actividades</w:t>
      </w:r>
      <w:r>
        <w:rPr>
          <w:rFonts w:ascii="Arial" w:hAnsi="Arial" w:cs="Arial"/>
          <w:sz w:val="22"/>
          <w:szCs w:val="22"/>
        </w:rPr>
        <w:t xml:space="preserve"> en facultades en las que se desarrolla el Proyecto Recreativo: 64 recreativas y 39 artísticas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8 equipos</w:t>
      </w:r>
      <w:r>
        <w:rPr>
          <w:rFonts w:ascii="Arial" w:hAnsi="Arial" w:cs="Arial"/>
          <w:sz w:val="22"/>
          <w:szCs w:val="22"/>
        </w:rPr>
        <w:t xml:space="preserve"> deportivos representativos en campeonatos y torneos federados: atletismo, ajedrez, baloncesto femenino, fútbol sala masculino y femenino, tenis de mesa, voleibol femenino y masculino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26 estudiantes y 4 funcionarios</w:t>
      </w:r>
      <w:r>
        <w:rPr>
          <w:rFonts w:ascii="Arial" w:hAnsi="Arial" w:cs="Arial"/>
          <w:sz w:val="22"/>
          <w:szCs w:val="22"/>
        </w:rPr>
        <w:t xml:space="preserve"> participaron en el Festival Interuniversitario Centroamericano Ficcua 2015 en la Universidad Nacional de Honduras (100%).  </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803 estudiantes</w:t>
      </w:r>
      <w:r>
        <w:rPr>
          <w:rFonts w:ascii="Arial" w:hAnsi="Arial" w:cs="Arial"/>
          <w:sz w:val="22"/>
          <w:szCs w:val="22"/>
        </w:rPr>
        <w:t xml:space="preserve"> atletas y artistas atendidos en lo que respecta a trabajo físico mediante el servicio de fisioterapia y del Centro de Acondicionamiento Físico y Salud (100%).       </w:t>
      </w:r>
    </w:p>
    <w:p w:rsidR="00F87902" w:rsidRDefault="00F87902">
      <w:pPr>
        <w:pStyle w:val="Prrafodelista"/>
        <w:rPr>
          <w:rFonts w:ascii="Arial" w:hAnsi="Arial" w:cs="Arial"/>
          <w:sz w:val="22"/>
          <w:szCs w:val="22"/>
        </w:rPr>
      </w:pPr>
    </w:p>
    <w:p w:rsidR="00F87902" w:rsidRDefault="00F87902">
      <w:pPr>
        <w:spacing w:line="360" w:lineRule="auto"/>
        <w:ind w:left="720"/>
        <w:jc w:val="both"/>
        <w:rPr>
          <w:rFonts w:ascii="Arial" w:hAnsi="Arial" w:cs="Arial"/>
          <w:b/>
        </w:rPr>
      </w:pPr>
    </w:p>
    <w:p w:rsidR="00F87902" w:rsidRDefault="00A519F9">
      <w:pPr>
        <w:spacing w:line="360" w:lineRule="auto"/>
        <w:ind w:left="720"/>
        <w:jc w:val="both"/>
        <w:rPr>
          <w:rFonts w:ascii="Arial" w:hAnsi="Arial" w:cs="Arial"/>
          <w:b/>
        </w:rPr>
      </w:pPr>
      <w:r>
        <w:rPr>
          <w:rFonts w:ascii="Arial" w:hAnsi="Arial" w:cs="Arial"/>
          <w:b/>
        </w:rPr>
        <w:t>Meta</w:t>
      </w:r>
      <w:r>
        <w:rPr>
          <w:rFonts w:ascii="Arial" w:hAnsi="Arial" w:cs="Arial"/>
          <w:b/>
        </w:rPr>
        <w:tab/>
        <w:t xml:space="preserve">1.4 Desarrollar 15 programas-proyectos, comisiones y coordinaciones, por parte de la Dirección Superior de la Vicerrectoría de Vida Estudiantil y de la Rectoría, que fortalezcan el desarrollo de la vida universitaria.        </w:t>
      </w:r>
    </w:p>
    <w:p w:rsidR="00F87902" w:rsidRDefault="00F87902">
      <w:pPr>
        <w:ind w:left="708"/>
        <w:jc w:val="both"/>
        <w:rPr>
          <w:rFonts w:ascii="Arial" w:hAnsi="Arial" w:cs="Arial"/>
          <w:b/>
          <w:i/>
          <w:color w:val="E36C0A" w:themeColor="accent6" w:themeShade="BF"/>
          <w:sz w:val="22"/>
          <w:szCs w:val="22"/>
        </w:rPr>
      </w:pPr>
    </w:p>
    <w:p w:rsidR="00F87902" w:rsidRPr="009008F8" w:rsidRDefault="00A519F9">
      <w:pPr>
        <w:ind w:left="708"/>
        <w:jc w:val="both"/>
        <w:rPr>
          <w:color w:val="auto"/>
        </w:rPr>
      </w:pPr>
      <w:r>
        <w:rPr>
          <w:rFonts w:ascii="Arial" w:hAnsi="Arial" w:cs="Arial"/>
          <w:sz w:val="22"/>
          <w:szCs w:val="22"/>
        </w:rPr>
        <w:t xml:space="preserve">Del cumplimiento en el desarrollo de al menos 12 comisiones y coordinaciones que plantea esta meta se </w:t>
      </w:r>
      <w:r w:rsidR="009008F8">
        <w:rPr>
          <w:rFonts w:ascii="Arial" w:hAnsi="Arial" w:cs="Arial"/>
          <w:sz w:val="22"/>
          <w:szCs w:val="22"/>
        </w:rPr>
        <w:t>estima en un</w:t>
      </w:r>
      <w:r w:rsidRPr="009008F8">
        <w:rPr>
          <w:rFonts w:ascii="Arial" w:hAnsi="Arial" w:cs="Arial"/>
          <w:b/>
          <w:color w:val="auto"/>
          <w:sz w:val="22"/>
          <w:szCs w:val="22"/>
        </w:rPr>
        <w:t>80%,</w:t>
      </w:r>
      <w:r w:rsidR="009008F8">
        <w:rPr>
          <w:rFonts w:ascii="Arial" w:hAnsi="Arial" w:cs="Arial"/>
          <w:color w:val="auto"/>
          <w:sz w:val="22"/>
          <w:szCs w:val="22"/>
        </w:rPr>
        <w:t>según se detalla sobre algunas de ella</w:t>
      </w:r>
      <w:r w:rsidRPr="009008F8">
        <w:rPr>
          <w:rFonts w:ascii="Arial" w:hAnsi="Arial" w:cs="Arial"/>
          <w:color w:val="auto"/>
          <w:sz w:val="22"/>
          <w:szCs w:val="22"/>
        </w:rPr>
        <w:t>s en proceso:</w:t>
      </w:r>
    </w:p>
    <w:p w:rsidR="00F87902" w:rsidRDefault="00F87902">
      <w:pPr>
        <w:spacing w:line="360" w:lineRule="auto"/>
        <w:ind w:left="720"/>
        <w:jc w:val="both"/>
        <w:rPr>
          <w:rFonts w:ascii="Arial" w:hAnsi="Arial" w:cs="Arial"/>
          <w:b/>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7 reuniones</w:t>
      </w:r>
      <w:r>
        <w:rPr>
          <w:rFonts w:ascii="Arial" w:hAnsi="Arial" w:cs="Arial"/>
          <w:sz w:val="22"/>
          <w:szCs w:val="22"/>
        </w:rPr>
        <w:t xml:space="preserve"> de trabajo de la comisión coordinadora del </w:t>
      </w:r>
      <w:r>
        <w:rPr>
          <w:rFonts w:ascii="Arial" w:hAnsi="Arial" w:cs="Arial"/>
          <w:i/>
          <w:sz w:val="22"/>
          <w:szCs w:val="22"/>
        </w:rPr>
        <w:t>Sisauna</w:t>
      </w:r>
      <w:r>
        <w:rPr>
          <w:rFonts w:ascii="Arial" w:hAnsi="Arial" w:cs="Arial"/>
          <w:sz w:val="22"/>
          <w:szCs w:val="22"/>
        </w:rPr>
        <w:t>, en el marco del seguimiento al plan de trabajo establecido</w:t>
      </w:r>
      <w:r w:rsidR="009008F8">
        <w:rPr>
          <w:rFonts w:ascii="Arial" w:hAnsi="Arial" w:cs="Arial"/>
          <w:sz w:val="22"/>
          <w:szCs w:val="22"/>
        </w:rPr>
        <w:t>,</w:t>
      </w:r>
      <w:r>
        <w:rPr>
          <w:rFonts w:ascii="Arial" w:hAnsi="Arial" w:cs="Arial"/>
          <w:sz w:val="22"/>
          <w:szCs w:val="22"/>
        </w:rPr>
        <w:t xml:space="preserve"> a fin de atender requerimientos de las sodas universitarias (100%); </w:t>
      </w:r>
      <w:r>
        <w:rPr>
          <w:rFonts w:ascii="Arial" w:hAnsi="Arial" w:cs="Arial"/>
          <w:b/>
          <w:sz w:val="22"/>
          <w:szCs w:val="22"/>
        </w:rPr>
        <w:t>4 capacitaciones</w:t>
      </w:r>
      <w:r>
        <w:rPr>
          <w:rFonts w:ascii="Arial" w:hAnsi="Arial" w:cs="Arial"/>
          <w:sz w:val="22"/>
          <w:szCs w:val="22"/>
        </w:rPr>
        <w:t xml:space="preserve"> a concesionarios (100%).</w:t>
      </w:r>
    </w:p>
    <w:p w:rsidR="00F87902" w:rsidRDefault="00F87902">
      <w:pPr>
        <w:ind w:left="1080"/>
        <w:jc w:val="both"/>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 xml:space="preserve">11 sesiones de seguimiento </w:t>
      </w:r>
      <w:r>
        <w:rPr>
          <w:rFonts w:ascii="Arial" w:hAnsi="Arial" w:cs="Arial"/>
          <w:sz w:val="22"/>
          <w:szCs w:val="22"/>
        </w:rPr>
        <w:t>de la Comisión institucional en materia de discapacidad (</w:t>
      </w:r>
      <w:r>
        <w:rPr>
          <w:rFonts w:ascii="Arial" w:hAnsi="Arial" w:cs="Arial"/>
          <w:i/>
          <w:sz w:val="22"/>
          <w:szCs w:val="22"/>
        </w:rPr>
        <w:t>Cimad</w:t>
      </w:r>
      <w:r>
        <w:rPr>
          <w:rFonts w:ascii="Arial" w:hAnsi="Arial" w:cs="Arial"/>
          <w:sz w:val="22"/>
          <w:szCs w:val="22"/>
        </w:rPr>
        <w:t>) que atiende requerimientos de la población con discapacidad (100%).</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1 acto</w:t>
      </w:r>
      <w:r>
        <w:rPr>
          <w:rFonts w:ascii="Arial" w:hAnsi="Arial" w:cs="Arial"/>
          <w:sz w:val="22"/>
          <w:szCs w:val="22"/>
        </w:rPr>
        <w:t xml:space="preserve"> Estudiante Distinguido realizado (100%).</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150 estudiantes</w:t>
      </w:r>
      <w:r>
        <w:rPr>
          <w:rFonts w:ascii="Arial" w:hAnsi="Arial" w:cs="Arial"/>
          <w:sz w:val="22"/>
          <w:szCs w:val="22"/>
        </w:rPr>
        <w:t xml:space="preserve"> reclutados y capacitados (100%).</w:t>
      </w:r>
    </w:p>
    <w:p w:rsidR="00F87902" w:rsidRDefault="00F87902">
      <w:pPr>
        <w:ind w:left="1080"/>
        <w:jc w:val="both"/>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27 actividades</w:t>
      </w:r>
      <w:r>
        <w:rPr>
          <w:rFonts w:ascii="Arial" w:hAnsi="Arial" w:cs="Arial"/>
          <w:sz w:val="22"/>
          <w:szCs w:val="22"/>
        </w:rPr>
        <w:t xml:space="preserve"> de voluntariado en el marco de </w:t>
      </w:r>
      <w:r>
        <w:rPr>
          <w:rFonts w:ascii="Arial" w:hAnsi="Arial" w:cs="Arial"/>
          <w:i/>
          <w:sz w:val="22"/>
          <w:szCs w:val="22"/>
        </w:rPr>
        <w:t>UNAventura Voluntariado</w:t>
      </w:r>
      <w:r>
        <w:rPr>
          <w:rFonts w:ascii="Arial" w:hAnsi="Arial" w:cs="Arial"/>
          <w:sz w:val="22"/>
          <w:szCs w:val="22"/>
        </w:rPr>
        <w:t xml:space="preserve"> (100%), con la participación de </w:t>
      </w:r>
      <w:r>
        <w:rPr>
          <w:rFonts w:ascii="Arial" w:hAnsi="Arial" w:cs="Arial"/>
          <w:b/>
          <w:sz w:val="22"/>
          <w:szCs w:val="22"/>
        </w:rPr>
        <w:t>496 estudiantes</w:t>
      </w:r>
      <w:r>
        <w:rPr>
          <w:rFonts w:ascii="Arial" w:hAnsi="Arial" w:cs="Arial"/>
          <w:sz w:val="22"/>
          <w:szCs w:val="22"/>
        </w:rPr>
        <w:t xml:space="preserve"> (99%).</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lo que se refiere a la agenda cultural permanente denominada Noches de Gala.</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8 reuniones</w:t>
      </w:r>
      <w:r>
        <w:rPr>
          <w:rFonts w:ascii="Arial" w:hAnsi="Arial" w:cs="Arial"/>
          <w:sz w:val="22"/>
          <w:szCs w:val="22"/>
        </w:rPr>
        <w:t xml:space="preserve"> de la Comisión de análisis y distribución del Fondo de Becas para atender diversas temáticas; además, un informe de proyección del fondo para el 2016; en el marco del seguimiento a criterios de priorización y asignación presupuestaria establecidos en el Fondo de Becas (100%).</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b/>
          <w:sz w:val="22"/>
          <w:szCs w:val="22"/>
        </w:rPr>
        <w:t>4 reuniones de coordinación</w:t>
      </w:r>
      <w:r>
        <w:rPr>
          <w:rFonts w:ascii="Arial" w:hAnsi="Arial" w:cs="Arial"/>
          <w:sz w:val="22"/>
          <w:szCs w:val="22"/>
        </w:rPr>
        <w:t xml:space="preserve"> de la Comisión Ejecutiva en lo referente a las estrategias de inducción a la vida universitaria y prevención y atención de las manifestaciones del fenómeno social de drogas, en el marco de UNA-IAFA (100%).</w:t>
      </w:r>
    </w:p>
    <w:p w:rsidR="00F87902" w:rsidRDefault="00F87902">
      <w:pPr>
        <w:pStyle w:val="Prrafodelista"/>
        <w:rPr>
          <w:rFonts w:ascii="Arial" w:hAnsi="Arial" w:cs="Arial"/>
          <w:sz w:val="22"/>
          <w:szCs w:val="22"/>
        </w:rPr>
      </w:pPr>
    </w:p>
    <w:p w:rsidR="00F87902" w:rsidRDefault="00A519F9">
      <w:pPr>
        <w:numPr>
          <w:ilvl w:val="0"/>
          <w:numId w:val="1"/>
        </w:numPr>
        <w:ind w:left="1080"/>
        <w:jc w:val="both"/>
      </w:pPr>
      <w:r>
        <w:rPr>
          <w:rFonts w:ascii="Arial" w:hAnsi="Arial" w:cs="Arial"/>
          <w:b/>
          <w:sz w:val="22"/>
          <w:szCs w:val="22"/>
        </w:rPr>
        <w:t>100% de logro</w:t>
      </w:r>
      <w:r>
        <w:rPr>
          <w:rFonts w:ascii="Arial" w:hAnsi="Arial" w:cs="Arial"/>
          <w:sz w:val="22"/>
          <w:szCs w:val="22"/>
        </w:rPr>
        <w:t xml:space="preserve"> en el apoyo al proyecto UNA-Alma máter: V Feria de Empleo UNA, con la participación de 11 empresas invitadas y 332 personas (48 graduadas, 55 estudiantes y 229 particulares), de las cuales 154 se registraron como nuevos usuarios en la plataforma </w:t>
      </w:r>
      <w:hyperlink r:id="rId18">
        <w:r>
          <w:rPr>
            <w:rStyle w:val="EnlacedeInternet"/>
            <w:rFonts w:ascii="Arial" w:hAnsi="Arial" w:cs="Arial"/>
            <w:sz w:val="22"/>
            <w:szCs w:val="22"/>
          </w:rPr>
          <w:t>www.buscoempleo.go.cr</w:t>
        </w:r>
      </w:hyperlink>
      <w:r>
        <w:rPr>
          <w:rFonts w:ascii="Arial" w:hAnsi="Arial" w:cs="Arial"/>
          <w:sz w:val="22"/>
          <w:szCs w:val="22"/>
        </w:rPr>
        <w:t xml:space="preserve"> escogiendo a la Universidad Nacional como institución de seguimiento.</w:t>
      </w:r>
    </w:p>
    <w:p w:rsidR="00F87902" w:rsidRDefault="00F87902">
      <w:pPr>
        <w:pStyle w:val="Prrafodelista"/>
        <w:rPr>
          <w:rFonts w:ascii="Arial" w:hAnsi="Arial" w:cs="Arial"/>
          <w:sz w:val="22"/>
          <w:szCs w:val="22"/>
        </w:rPr>
      </w:pPr>
    </w:p>
    <w:p w:rsidR="00F87902" w:rsidRDefault="00A519F9">
      <w:pPr>
        <w:numPr>
          <w:ilvl w:val="0"/>
          <w:numId w:val="1"/>
        </w:numPr>
        <w:ind w:left="1080"/>
        <w:jc w:val="both"/>
        <w:rPr>
          <w:rFonts w:ascii="Arial" w:hAnsi="Arial" w:cs="Arial"/>
          <w:sz w:val="22"/>
          <w:szCs w:val="22"/>
        </w:rPr>
      </w:pPr>
      <w:r>
        <w:rPr>
          <w:rFonts w:ascii="Arial" w:hAnsi="Arial" w:cs="Arial"/>
          <w:sz w:val="22"/>
          <w:szCs w:val="22"/>
        </w:rPr>
        <w:t xml:space="preserve">En el marco del proyecto </w:t>
      </w:r>
      <w:r>
        <w:rPr>
          <w:rFonts w:ascii="Arial" w:hAnsi="Arial" w:cs="Arial"/>
          <w:i/>
          <w:sz w:val="22"/>
          <w:szCs w:val="22"/>
        </w:rPr>
        <w:t>Cieuna</w:t>
      </w:r>
      <w:r>
        <w:rPr>
          <w:rFonts w:ascii="Arial" w:hAnsi="Arial" w:cs="Arial"/>
          <w:sz w:val="22"/>
          <w:szCs w:val="22"/>
        </w:rPr>
        <w:t xml:space="preserve">, lo siguiente:      </w:t>
      </w:r>
    </w:p>
    <w:p w:rsidR="00F87902" w:rsidRDefault="00F87902">
      <w:pPr>
        <w:pStyle w:val="Prrafodelista"/>
        <w:rPr>
          <w:rFonts w:ascii="Arial" w:hAnsi="Arial" w:cs="Arial"/>
          <w:sz w:val="22"/>
          <w:szCs w:val="22"/>
        </w:rPr>
      </w:pPr>
    </w:p>
    <w:p w:rsidR="00F87902" w:rsidRDefault="00A519F9">
      <w:pPr>
        <w:numPr>
          <w:ilvl w:val="1"/>
          <w:numId w:val="1"/>
        </w:numPr>
        <w:jc w:val="both"/>
        <w:rPr>
          <w:rFonts w:ascii="Arial" w:hAnsi="Arial" w:cs="Arial"/>
          <w:sz w:val="22"/>
          <w:szCs w:val="22"/>
        </w:rPr>
      </w:pPr>
      <w:r>
        <w:rPr>
          <w:rFonts w:ascii="Arial" w:hAnsi="Arial" w:cs="Arial"/>
          <w:sz w:val="22"/>
          <w:szCs w:val="22"/>
        </w:rPr>
        <w:t>4 charlas sobre la estrategia institucional para preparación y atención de emergencias y la formulación del plan (E.I.P.A.E), 100%.</w:t>
      </w:r>
    </w:p>
    <w:p w:rsidR="00F87902" w:rsidRDefault="00A519F9">
      <w:pPr>
        <w:numPr>
          <w:ilvl w:val="1"/>
          <w:numId w:val="1"/>
        </w:numPr>
        <w:jc w:val="both"/>
        <w:rPr>
          <w:rFonts w:ascii="Arial" w:hAnsi="Arial" w:cs="Arial"/>
          <w:sz w:val="22"/>
          <w:szCs w:val="22"/>
        </w:rPr>
      </w:pPr>
      <w:r>
        <w:rPr>
          <w:rFonts w:ascii="Arial" w:hAnsi="Arial" w:cs="Arial"/>
          <w:sz w:val="22"/>
          <w:szCs w:val="22"/>
        </w:rPr>
        <w:t>25 sesiones de seguimiento a los comités y brigadas de emergencia (100%).</w:t>
      </w:r>
    </w:p>
    <w:p w:rsidR="00F87902" w:rsidRDefault="00A519F9">
      <w:pPr>
        <w:numPr>
          <w:ilvl w:val="1"/>
          <w:numId w:val="1"/>
        </w:numPr>
        <w:jc w:val="both"/>
        <w:rPr>
          <w:rFonts w:ascii="Arial" w:hAnsi="Arial" w:cs="Arial"/>
          <w:sz w:val="22"/>
          <w:szCs w:val="22"/>
        </w:rPr>
      </w:pPr>
      <w:r>
        <w:rPr>
          <w:rFonts w:ascii="Arial" w:hAnsi="Arial" w:cs="Arial"/>
          <w:sz w:val="22"/>
          <w:szCs w:val="22"/>
        </w:rPr>
        <w:t xml:space="preserve">3 nuevos comités de emergencias y sus brigadas registrados: Museo de Cultura Popular, se recibió el comunicado de la nueva estructura de la sede regional Chorotega, el Cinpe reinició su gestión y se recibió el comunicado de la conformación de UNA-Campus Sostenible (100%). </w:t>
      </w:r>
    </w:p>
    <w:p w:rsidR="00F87902" w:rsidRDefault="00A519F9">
      <w:pPr>
        <w:numPr>
          <w:ilvl w:val="1"/>
          <w:numId w:val="1"/>
        </w:numPr>
        <w:jc w:val="both"/>
        <w:rPr>
          <w:rFonts w:ascii="Arial" w:hAnsi="Arial" w:cs="Arial"/>
          <w:sz w:val="22"/>
          <w:szCs w:val="22"/>
        </w:rPr>
      </w:pPr>
      <w:r>
        <w:rPr>
          <w:rFonts w:ascii="Arial" w:hAnsi="Arial" w:cs="Arial"/>
          <w:sz w:val="22"/>
          <w:szCs w:val="22"/>
        </w:rPr>
        <w:t>4 planes de respuesta rápida en centros de trabajo: se revisó Cinpe y UNA-Campus Sostenible (100%).</w:t>
      </w:r>
    </w:p>
    <w:p w:rsidR="00F87902" w:rsidRDefault="00A519F9">
      <w:pPr>
        <w:numPr>
          <w:ilvl w:val="1"/>
          <w:numId w:val="1"/>
        </w:numPr>
        <w:jc w:val="both"/>
        <w:rPr>
          <w:rFonts w:ascii="Arial" w:hAnsi="Arial" w:cs="Arial"/>
          <w:sz w:val="22"/>
          <w:szCs w:val="22"/>
        </w:rPr>
      </w:pPr>
      <w:r>
        <w:rPr>
          <w:rFonts w:ascii="Arial" w:hAnsi="Arial" w:cs="Arial"/>
          <w:sz w:val="22"/>
          <w:szCs w:val="22"/>
        </w:rPr>
        <w:t>4 planes de evacuación en los centros de trabajo: se revisó Cinpe y UNA-Campus Sostenible (100%).</w:t>
      </w:r>
    </w:p>
    <w:p w:rsidR="00F87902" w:rsidRDefault="00A519F9">
      <w:pPr>
        <w:numPr>
          <w:ilvl w:val="1"/>
          <w:numId w:val="1"/>
        </w:numPr>
        <w:jc w:val="both"/>
        <w:rPr>
          <w:rFonts w:ascii="Arial" w:hAnsi="Arial" w:cs="Arial"/>
          <w:sz w:val="22"/>
          <w:szCs w:val="22"/>
        </w:rPr>
      </w:pPr>
      <w:r>
        <w:rPr>
          <w:rFonts w:ascii="Arial" w:hAnsi="Arial" w:cs="Arial"/>
          <w:sz w:val="22"/>
          <w:szCs w:val="22"/>
        </w:rPr>
        <w:t xml:space="preserve">4 simulacros desarrollados en los centros de trabajo organizados para la preparación y atención de emergencias: en la Escuela de Medicina Veterinaria (100%).                                                                                                                                                                                                                                                                                                                        </w:t>
      </w:r>
    </w:p>
    <w:p w:rsidR="00F87902" w:rsidRDefault="00A519F9">
      <w:pPr>
        <w:numPr>
          <w:ilvl w:val="1"/>
          <w:numId w:val="1"/>
        </w:numPr>
        <w:jc w:val="both"/>
        <w:rPr>
          <w:rFonts w:ascii="Arial" w:hAnsi="Arial" w:cs="Arial"/>
          <w:sz w:val="22"/>
          <w:szCs w:val="22"/>
        </w:rPr>
      </w:pPr>
      <w:r>
        <w:rPr>
          <w:rFonts w:ascii="Arial" w:hAnsi="Arial" w:cs="Arial"/>
          <w:sz w:val="22"/>
          <w:szCs w:val="22"/>
        </w:rPr>
        <w:t>57 sesiones de capacitación (educación continua) a integrantes de las brigadas de primeros auxilios (100%).</w:t>
      </w:r>
    </w:p>
    <w:p w:rsidR="00F87902" w:rsidRDefault="00A519F9">
      <w:pPr>
        <w:numPr>
          <w:ilvl w:val="1"/>
          <w:numId w:val="1"/>
        </w:numPr>
        <w:jc w:val="both"/>
        <w:rPr>
          <w:rFonts w:ascii="Arial" w:hAnsi="Arial" w:cs="Arial"/>
          <w:sz w:val="22"/>
          <w:szCs w:val="22"/>
        </w:rPr>
      </w:pPr>
      <w:r>
        <w:rPr>
          <w:rFonts w:ascii="Arial" w:hAnsi="Arial" w:cs="Arial"/>
          <w:sz w:val="22"/>
          <w:szCs w:val="22"/>
        </w:rPr>
        <w:t>4 sesiones de capacitación a integrantes de las brigadas de evacuación y a representantes de la comunidad universitaria (100%).</w:t>
      </w:r>
    </w:p>
    <w:p w:rsidR="00F87902" w:rsidRDefault="00A519F9">
      <w:pPr>
        <w:numPr>
          <w:ilvl w:val="1"/>
          <w:numId w:val="1"/>
        </w:numPr>
        <w:jc w:val="both"/>
        <w:rPr>
          <w:rFonts w:ascii="Arial" w:hAnsi="Arial" w:cs="Arial"/>
          <w:sz w:val="22"/>
          <w:szCs w:val="22"/>
        </w:rPr>
      </w:pPr>
      <w:r>
        <w:rPr>
          <w:rFonts w:ascii="Arial" w:hAnsi="Arial" w:cs="Arial"/>
          <w:sz w:val="22"/>
          <w:szCs w:val="22"/>
        </w:rPr>
        <w:t>4 sesiones de capacitación a integrantes de las brigadas de vigilancia y a representantes de la comunidad universitaria (100%).</w:t>
      </w:r>
    </w:p>
    <w:p w:rsidR="00F87902" w:rsidRDefault="00A519F9">
      <w:pPr>
        <w:numPr>
          <w:ilvl w:val="1"/>
          <w:numId w:val="1"/>
        </w:numPr>
        <w:jc w:val="both"/>
        <w:rPr>
          <w:rFonts w:ascii="Arial" w:hAnsi="Arial" w:cs="Arial"/>
          <w:sz w:val="22"/>
          <w:szCs w:val="22"/>
        </w:rPr>
      </w:pPr>
      <w:r>
        <w:rPr>
          <w:rFonts w:ascii="Arial" w:hAnsi="Arial" w:cs="Arial"/>
          <w:sz w:val="22"/>
          <w:szCs w:val="22"/>
        </w:rPr>
        <w:lastRenderedPageBreak/>
        <w:t xml:space="preserve">25 sesiones de capacitación a integrantes de las brigadas de extinción y a representantes de la comunidad universitaria: se concretó la contratación de </w:t>
      </w:r>
      <w:r>
        <w:rPr>
          <w:rFonts w:ascii="Arial" w:hAnsi="Arial" w:cs="Arial"/>
          <w:i/>
          <w:sz w:val="22"/>
          <w:szCs w:val="22"/>
        </w:rPr>
        <w:t>Asosi</w:t>
      </w:r>
      <w:r>
        <w:rPr>
          <w:rFonts w:ascii="Arial" w:hAnsi="Arial" w:cs="Arial"/>
          <w:sz w:val="22"/>
          <w:szCs w:val="22"/>
        </w:rPr>
        <w:t xml:space="preserve"> para el mantenimiento y la recarga de los extintores, contrato mediante el cual se está capacitando a las brigadas en uso de extintores, y mediante la empresa </w:t>
      </w:r>
      <w:r>
        <w:rPr>
          <w:rFonts w:ascii="Arial" w:hAnsi="Arial" w:cs="Arial"/>
          <w:i/>
          <w:sz w:val="22"/>
          <w:szCs w:val="22"/>
        </w:rPr>
        <w:t>Aplacap</w:t>
      </w:r>
      <w:r>
        <w:rPr>
          <w:rFonts w:ascii="Arial" w:hAnsi="Arial" w:cs="Arial"/>
          <w:sz w:val="22"/>
          <w:szCs w:val="22"/>
        </w:rPr>
        <w:t xml:space="preserve"> en sistemas fijas contra incendios –uso de mangueras– (100%).</w:t>
      </w:r>
    </w:p>
    <w:p w:rsidR="00F87902" w:rsidRDefault="00A519F9">
      <w:pPr>
        <w:numPr>
          <w:ilvl w:val="1"/>
          <w:numId w:val="1"/>
        </w:numPr>
        <w:jc w:val="both"/>
        <w:rPr>
          <w:rFonts w:ascii="Arial" w:hAnsi="Arial" w:cs="Arial"/>
          <w:sz w:val="22"/>
          <w:szCs w:val="22"/>
        </w:rPr>
      </w:pPr>
      <w:r>
        <w:rPr>
          <w:rFonts w:ascii="Arial" w:hAnsi="Arial" w:cs="Arial"/>
          <w:sz w:val="22"/>
          <w:szCs w:val="22"/>
        </w:rPr>
        <w:t>3 charlas de educación sobre la gestión de riesgo y prevención de emergencias: capacitación en manejo seguro de gas LP para sodas institucionales en el mes de enero (100%).</w:t>
      </w:r>
    </w:p>
    <w:p w:rsidR="00F87902" w:rsidRDefault="00A519F9">
      <w:pPr>
        <w:numPr>
          <w:ilvl w:val="1"/>
          <w:numId w:val="1"/>
        </w:numPr>
        <w:jc w:val="both"/>
        <w:rPr>
          <w:rFonts w:ascii="Arial" w:hAnsi="Arial" w:cs="Arial"/>
          <w:sz w:val="22"/>
          <w:szCs w:val="22"/>
        </w:rPr>
      </w:pPr>
      <w:r>
        <w:rPr>
          <w:rFonts w:ascii="Arial" w:hAnsi="Arial" w:cs="Arial"/>
          <w:sz w:val="22"/>
          <w:szCs w:val="22"/>
        </w:rPr>
        <w:t>39 sesiones de capacitación a nuevos miembros de brigadas de primeros auxilios (100%).</w:t>
      </w:r>
    </w:p>
    <w:p w:rsidR="00F87902" w:rsidRDefault="00A519F9">
      <w:pPr>
        <w:numPr>
          <w:ilvl w:val="1"/>
          <w:numId w:val="1"/>
        </w:numPr>
        <w:jc w:val="both"/>
        <w:rPr>
          <w:rFonts w:ascii="Arial" w:hAnsi="Arial" w:cs="Arial"/>
          <w:sz w:val="22"/>
          <w:szCs w:val="22"/>
        </w:rPr>
      </w:pPr>
      <w:r>
        <w:rPr>
          <w:rFonts w:ascii="Arial" w:hAnsi="Arial" w:cs="Arial"/>
          <w:sz w:val="22"/>
          <w:szCs w:val="22"/>
        </w:rPr>
        <w:t xml:space="preserve">6 procesos de capacitación vinculados con la gestión de riesgos de desastre: participación en curso NFPA 101 y a la capacitación Derechos y desarrollo humano, por parte del </w:t>
      </w:r>
      <w:r>
        <w:rPr>
          <w:rFonts w:ascii="Arial" w:hAnsi="Arial" w:cs="Arial"/>
          <w:i/>
          <w:sz w:val="22"/>
          <w:szCs w:val="22"/>
        </w:rPr>
        <w:t>Cimad</w:t>
      </w:r>
      <w:r>
        <w:rPr>
          <w:rFonts w:ascii="Arial" w:hAnsi="Arial" w:cs="Arial"/>
          <w:sz w:val="22"/>
          <w:szCs w:val="22"/>
        </w:rPr>
        <w:t xml:space="preserve">, Instituto Tecnológico de Costa Rica Gestión de riesgo, </w:t>
      </w:r>
      <w:r>
        <w:rPr>
          <w:rFonts w:ascii="Arial" w:hAnsi="Arial" w:cs="Arial"/>
          <w:i/>
          <w:sz w:val="22"/>
          <w:szCs w:val="22"/>
        </w:rPr>
        <w:t>Conapis</w:t>
      </w:r>
      <w:r>
        <w:rPr>
          <w:rFonts w:ascii="Arial" w:hAnsi="Arial" w:cs="Arial"/>
          <w:sz w:val="22"/>
          <w:szCs w:val="22"/>
        </w:rPr>
        <w:t xml:space="preserve"> Accesibilidad universal (100%).</w:t>
      </w:r>
    </w:p>
    <w:p w:rsidR="00F87902" w:rsidRDefault="00A519F9">
      <w:pPr>
        <w:numPr>
          <w:ilvl w:val="1"/>
          <w:numId w:val="1"/>
        </w:numPr>
        <w:jc w:val="both"/>
        <w:rPr>
          <w:rFonts w:ascii="Arial" w:hAnsi="Arial" w:cs="Arial"/>
          <w:sz w:val="22"/>
          <w:szCs w:val="22"/>
        </w:rPr>
      </w:pPr>
      <w:r>
        <w:rPr>
          <w:rFonts w:ascii="Arial" w:hAnsi="Arial" w:cs="Arial"/>
          <w:sz w:val="22"/>
          <w:szCs w:val="22"/>
        </w:rPr>
        <w:t>5 equipamientos en puestos de primeros auxilios básicos (PAB), 100%.</w:t>
      </w:r>
    </w:p>
    <w:p w:rsidR="00F87902" w:rsidRDefault="00A519F9">
      <w:pPr>
        <w:numPr>
          <w:ilvl w:val="1"/>
          <w:numId w:val="1"/>
        </w:numPr>
        <w:jc w:val="both"/>
        <w:rPr>
          <w:rFonts w:ascii="Arial" w:hAnsi="Arial" w:cs="Arial"/>
          <w:sz w:val="22"/>
          <w:szCs w:val="22"/>
        </w:rPr>
      </w:pPr>
      <w:r>
        <w:rPr>
          <w:rFonts w:ascii="Arial" w:hAnsi="Arial" w:cs="Arial"/>
          <w:sz w:val="22"/>
          <w:szCs w:val="22"/>
        </w:rPr>
        <w:t>15 equipamientos de puestos con silla de ruedas en cada uno (100%).</w:t>
      </w:r>
    </w:p>
    <w:p w:rsidR="00F87902" w:rsidRDefault="00A519F9">
      <w:pPr>
        <w:numPr>
          <w:ilvl w:val="1"/>
          <w:numId w:val="1"/>
        </w:numPr>
        <w:jc w:val="both"/>
        <w:rPr>
          <w:rFonts w:ascii="Arial" w:hAnsi="Arial" w:cs="Arial"/>
          <w:sz w:val="22"/>
          <w:szCs w:val="22"/>
        </w:rPr>
      </w:pPr>
      <w:r>
        <w:rPr>
          <w:rFonts w:ascii="Arial" w:hAnsi="Arial" w:cs="Arial"/>
          <w:sz w:val="22"/>
          <w:szCs w:val="22"/>
        </w:rPr>
        <w:t>2 centros de trabajo intervenidos con el proceso de señalización de prevención y seguridad (100%).</w:t>
      </w:r>
    </w:p>
    <w:p w:rsidR="00F87902" w:rsidRDefault="00A519F9">
      <w:pPr>
        <w:numPr>
          <w:ilvl w:val="1"/>
          <w:numId w:val="1"/>
        </w:numPr>
        <w:jc w:val="both"/>
        <w:rPr>
          <w:rFonts w:ascii="Arial" w:hAnsi="Arial" w:cs="Arial"/>
          <w:sz w:val="22"/>
          <w:szCs w:val="22"/>
        </w:rPr>
      </w:pPr>
      <w:r>
        <w:rPr>
          <w:rFonts w:ascii="Arial" w:hAnsi="Arial" w:cs="Arial"/>
          <w:sz w:val="22"/>
          <w:szCs w:val="22"/>
        </w:rPr>
        <w:t xml:space="preserve">50 brigadistas en la </w:t>
      </w:r>
      <w:r>
        <w:rPr>
          <w:rFonts w:ascii="Arial" w:hAnsi="Arial" w:cs="Arial"/>
          <w:i/>
          <w:sz w:val="22"/>
          <w:szCs w:val="22"/>
        </w:rPr>
        <w:t>Cieuna</w:t>
      </w:r>
      <w:r>
        <w:rPr>
          <w:rFonts w:ascii="Arial" w:hAnsi="Arial" w:cs="Arial"/>
          <w:sz w:val="22"/>
          <w:szCs w:val="22"/>
        </w:rPr>
        <w:t xml:space="preserve"> identificados con los distintivos correspondientes (100%).</w:t>
      </w:r>
    </w:p>
    <w:p w:rsidR="00F87902" w:rsidRDefault="00A519F9">
      <w:pPr>
        <w:numPr>
          <w:ilvl w:val="1"/>
          <w:numId w:val="1"/>
        </w:numPr>
        <w:jc w:val="both"/>
        <w:rPr>
          <w:rFonts w:ascii="Arial" w:hAnsi="Arial" w:cs="Arial"/>
          <w:sz w:val="22"/>
          <w:szCs w:val="22"/>
        </w:rPr>
      </w:pPr>
      <w:r>
        <w:rPr>
          <w:rFonts w:ascii="Arial" w:hAnsi="Arial" w:cs="Arial"/>
          <w:sz w:val="22"/>
          <w:szCs w:val="22"/>
        </w:rPr>
        <w:t xml:space="preserve">5 procedimientos vinculantes a la estrategia institucional para la preparación y atención de emergencias de la UNA: un protocolo de actuación ante la posible erupción del volcán Turrialba, revisión de protocolo de empresa </w:t>
      </w:r>
      <w:r>
        <w:rPr>
          <w:rFonts w:ascii="Arial" w:hAnsi="Arial" w:cs="Arial"/>
          <w:i/>
          <w:sz w:val="22"/>
          <w:szCs w:val="22"/>
        </w:rPr>
        <w:t xml:space="preserve">Trasmedic Ambulancia, </w:t>
      </w:r>
      <w:r>
        <w:rPr>
          <w:rFonts w:ascii="Arial" w:hAnsi="Arial" w:cs="Arial"/>
          <w:sz w:val="22"/>
          <w:szCs w:val="22"/>
        </w:rPr>
        <w:t>revisión de diferentes protocolos para actividades masivas de diferentes unidades (100%).</w:t>
      </w:r>
    </w:p>
    <w:p w:rsidR="00F87902" w:rsidRDefault="00F87902">
      <w:pPr>
        <w:jc w:val="both"/>
        <w:rPr>
          <w:rFonts w:ascii="Arial" w:hAnsi="Arial" w:cs="Arial"/>
          <w:sz w:val="22"/>
          <w:szCs w:val="22"/>
        </w:rPr>
      </w:pPr>
    </w:p>
    <w:p w:rsidR="00F87902" w:rsidRDefault="00A519F9">
      <w:pPr>
        <w:ind w:left="1416"/>
        <w:jc w:val="both"/>
      </w:pPr>
      <w:r>
        <w:rPr>
          <w:rFonts w:ascii="Arial" w:hAnsi="Arial" w:cs="Arial"/>
          <w:i/>
          <w:sz w:val="22"/>
          <w:szCs w:val="22"/>
        </w:rPr>
        <w:t>El porcentaje de ejecución en esta meta (66,9%) responde a la baja ejecución de recursos de  operación concentrados (alrededor de 300 millones de colones), así como a la existencia de compromisos presupuestarios de aproximadamente 80 millones de colones.</w:t>
      </w:r>
    </w:p>
    <w:p w:rsidR="00F87902" w:rsidRDefault="00F87902">
      <w:pPr>
        <w:jc w:val="both"/>
        <w:rPr>
          <w:rFonts w:ascii="Arial" w:hAnsi="Arial" w:cs="Arial"/>
        </w:rPr>
      </w:pPr>
    </w:p>
    <w:p w:rsidR="00F87902" w:rsidRDefault="00F87902">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6D52EA" w:rsidRDefault="006D52EA">
      <w:pPr>
        <w:jc w:val="center"/>
        <w:rPr>
          <w:rFonts w:ascii="Arial" w:hAnsi="Arial" w:cs="Arial"/>
          <w:b/>
        </w:rPr>
      </w:pPr>
    </w:p>
    <w:p w:rsidR="00F87902" w:rsidRDefault="00A519F9">
      <w:pPr>
        <w:jc w:val="center"/>
        <w:rPr>
          <w:rFonts w:ascii="Arial" w:hAnsi="Arial" w:cs="Arial"/>
        </w:rPr>
      </w:pPr>
      <w:r>
        <w:rPr>
          <w:rFonts w:ascii="Arial" w:hAnsi="Arial" w:cs="Arial"/>
          <w:b/>
        </w:rPr>
        <w:lastRenderedPageBreak/>
        <w:t>CUADRO N°10</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u w:val="single"/>
        </w:rPr>
      </w:pPr>
      <w:r>
        <w:rPr>
          <w:rFonts w:ascii="Arial" w:hAnsi="Arial" w:cs="Arial"/>
          <w:sz w:val="22"/>
          <w:szCs w:val="22"/>
        </w:rPr>
        <w:t>(millones de colones</w:t>
      </w:r>
      <w:r>
        <w:rPr>
          <w:rFonts w:ascii="Arial" w:hAnsi="Arial" w:cs="Arial"/>
          <w:sz w:val="22"/>
          <w:szCs w:val="22"/>
          <w:u w:val="single"/>
        </w:rPr>
        <w:t>)</w:t>
      </w:r>
    </w:p>
    <w:p w:rsidR="00F87902" w:rsidRDefault="00F87902">
      <w:pPr>
        <w:jc w:val="center"/>
        <w:rPr>
          <w:rFonts w:ascii="Arial" w:hAnsi="Arial" w:cs="Arial"/>
          <w:color w:val="0070C0"/>
        </w:rPr>
      </w:pPr>
    </w:p>
    <w:tbl>
      <w:tblPr>
        <w:tblW w:w="8720" w:type="dxa"/>
        <w:jc w:val="center"/>
        <w:tblBorders>
          <w:top w:val="single" w:sz="18" w:space="0" w:color="00000A"/>
        </w:tblBorders>
        <w:tblLook w:val="04A0"/>
      </w:tblPr>
      <w:tblGrid>
        <w:gridCol w:w="1397"/>
        <w:gridCol w:w="1505"/>
        <w:gridCol w:w="2385"/>
        <w:gridCol w:w="232"/>
        <w:gridCol w:w="1771"/>
        <w:gridCol w:w="1430"/>
      </w:tblGrid>
      <w:tr w:rsidR="00F87902">
        <w:trPr>
          <w:jc w:val="center"/>
        </w:trPr>
        <w:tc>
          <w:tcPr>
            <w:tcW w:w="1396"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90"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01"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96"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50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38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71"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30"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96"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1.1</w:t>
            </w:r>
          </w:p>
        </w:tc>
        <w:tc>
          <w:tcPr>
            <w:tcW w:w="1505" w:type="dxa"/>
            <w:tcBorders>
              <w:top w:val="single" w:sz="12" w:space="0" w:color="00000A"/>
            </w:tcBorders>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10.139,0</w:t>
            </w:r>
          </w:p>
        </w:tc>
        <w:tc>
          <w:tcPr>
            <w:tcW w:w="2385" w:type="dxa"/>
            <w:tcBorders>
              <w:top w:val="single" w:sz="12" w:space="0" w:color="00000A"/>
            </w:tcBorders>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10.704,9</w:t>
            </w:r>
          </w:p>
        </w:tc>
        <w:tc>
          <w:tcPr>
            <w:tcW w:w="232"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71"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9.842,3</w:t>
            </w:r>
          </w:p>
        </w:tc>
        <w:tc>
          <w:tcPr>
            <w:tcW w:w="1430" w:type="dxa"/>
            <w:tcBorders>
              <w:top w:val="single" w:sz="12" w:space="0" w:color="00000A"/>
            </w:tcBorders>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91,9%</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1.2</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452,6</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507,7</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474,7</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93,5%</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1.3</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421,7</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458,8</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431,6</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94,1%</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1.4</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597,9</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726,7</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486,1</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66,9%</w:t>
            </w:r>
          </w:p>
        </w:tc>
      </w:tr>
      <w:tr w:rsidR="00F87902">
        <w:trPr>
          <w:trHeight w:val="156"/>
          <w:jc w:val="center"/>
        </w:trPr>
        <w:tc>
          <w:tcPr>
            <w:tcW w:w="1396" w:type="dxa"/>
            <w:shd w:val="clear" w:color="auto" w:fill="auto"/>
          </w:tcPr>
          <w:p w:rsidR="00F87902" w:rsidRDefault="00F87902">
            <w:pPr>
              <w:rPr>
                <w:rFonts w:ascii="Arial" w:hAnsi="Arial" w:cs="Arial"/>
                <w:b/>
                <w:sz w:val="20"/>
                <w:szCs w:val="20"/>
              </w:rPr>
            </w:pPr>
          </w:p>
        </w:tc>
        <w:tc>
          <w:tcPr>
            <w:tcW w:w="1505" w:type="dxa"/>
            <w:shd w:val="clear" w:color="auto" w:fill="auto"/>
          </w:tcPr>
          <w:p w:rsidR="00F87902" w:rsidRDefault="00F87902">
            <w:pPr>
              <w:ind w:left="283" w:right="227"/>
              <w:jc w:val="right"/>
              <w:rPr>
                <w:rFonts w:ascii="Arial" w:hAnsi="Arial" w:cs="Arial"/>
                <w:sz w:val="20"/>
                <w:szCs w:val="20"/>
              </w:rPr>
            </w:pPr>
          </w:p>
        </w:tc>
        <w:tc>
          <w:tcPr>
            <w:tcW w:w="2385" w:type="dxa"/>
            <w:shd w:val="clear" w:color="auto" w:fill="auto"/>
          </w:tcPr>
          <w:p w:rsidR="00F87902" w:rsidRDefault="00F87902">
            <w:pPr>
              <w:ind w:left="283" w:right="794"/>
              <w:jc w:val="right"/>
              <w:rPr>
                <w:rFonts w:ascii="Arial" w:hAnsi="Arial" w:cs="Arial"/>
                <w:sz w:val="20"/>
                <w:szCs w:val="20"/>
              </w:rPr>
            </w:pP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tcPr>
          <w:p w:rsidR="00F87902" w:rsidRDefault="00F87902">
            <w:pPr>
              <w:ind w:left="283" w:right="340"/>
              <w:jc w:val="right"/>
              <w:rPr>
                <w:rFonts w:ascii="Arial" w:hAnsi="Arial" w:cs="Arial"/>
                <w:sz w:val="20"/>
                <w:szCs w:val="20"/>
              </w:rPr>
            </w:pPr>
          </w:p>
        </w:tc>
        <w:tc>
          <w:tcPr>
            <w:tcW w:w="1430" w:type="dxa"/>
            <w:shd w:val="clear" w:color="auto" w:fill="auto"/>
          </w:tcPr>
          <w:p w:rsidR="00F87902" w:rsidRDefault="00F87902">
            <w:pPr>
              <w:ind w:left="283" w:right="283"/>
              <w:jc w:val="right"/>
              <w:rPr>
                <w:rFonts w:ascii="Arial" w:hAnsi="Arial" w:cs="Arial"/>
                <w:sz w:val="20"/>
                <w:szCs w:val="20"/>
              </w:rPr>
            </w:pPr>
          </w:p>
        </w:tc>
      </w:tr>
      <w:tr w:rsidR="00F87902">
        <w:trPr>
          <w:jc w:val="center"/>
        </w:trPr>
        <w:tc>
          <w:tcPr>
            <w:tcW w:w="1396" w:type="dxa"/>
            <w:tcBorders>
              <w:top w:val="single" w:sz="18" w:space="0" w:color="00000A"/>
              <w:bottom w:val="single" w:sz="18" w:space="0" w:color="00000A"/>
            </w:tcBorders>
            <w:shd w:val="clear" w:color="auto" w:fill="auto"/>
          </w:tcPr>
          <w:p w:rsidR="00F87902" w:rsidRDefault="00A519F9">
            <w:pPr>
              <w:jc w:val="center"/>
              <w:rPr>
                <w:rFonts w:ascii="Arial" w:hAnsi="Arial" w:cs="Arial"/>
                <w:b/>
              </w:rPr>
            </w:pPr>
            <w:r>
              <w:rPr>
                <w:rFonts w:ascii="Arial" w:hAnsi="Arial" w:cs="Arial"/>
                <w:b/>
                <w:sz w:val="20"/>
                <w:szCs w:val="20"/>
              </w:rPr>
              <w:t>Objetivo 1</w:t>
            </w:r>
          </w:p>
        </w:tc>
        <w:tc>
          <w:tcPr>
            <w:tcW w:w="1505"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11.611,2</w:t>
            </w:r>
          </w:p>
        </w:tc>
        <w:tc>
          <w:tcPr>
            <w:tcW w:w="2385" w:type="dxa"/>
            <w:tcBorders>
              <w:top w:val="single" w:sz="18" w:space="0" w:color="00000A"/>
              <w:bottom w:val="single" w:sz="18" w:space="0" w:color="00000A"/>
            </w:tcBorders>
            <w:shd w:val="clear" w:color="auto" w:fill="auto"/>
          </w:tcPr>
          <w:p w:rsidR="00F87902" w:rsidRDefault="00A519F9">
            <w:pPr>
              <w:ind w:left="283" w:right="794"/>
              <w:jc w:val="right"/>
              <w:rPr>
                <w:rFonts w:ascii="Arial" w:hAnsi="Arial" w:cs="Arial"/>
                <w:b/>
                <w:sz w:val="20"/>
                <w:szCs w:val="20"/>
              </w:rPr>
            </w:pPr>
            <w:r>
              <w:rPr>
                <w:rFonts w:ascii="Arial" w:hAnsi="Arial" w:cs="Arial"/>
                <w:b/>
                <w:sz w:val="20"/>
                <w:szCs w:val="20"/>
              </w:rPr>
              <w:t>12.398,1</w:t>
            </w:r>
          </w:p>
        </w:tc>
        <w:tc>
          <w:tcPr>
            <w:tcW w:w="232" w:type="dxa"/>
            <w:tcBorders>
              <w:top w:val="single" w:sz="18" w:space="0" w:color="00000A"/>
              <w:bottom w:val="single" w:sz="18" w:space="0" w:color="00000A"/>
            </w:tcBorders>
            <w:shd w:val="clear" w:color="auto" w:fill="auto"/>
          </w:tcPr>
          <w:p w:rsidR="00F87902" w:rsidRDefault="00F87902">
            <w:pPr>
              <w:jc w:val="center"/>
              <w:rPr>
                <w:rFonts w:ascii="Arial" w:hAnsi="Arial" w:cs="Arial"/>
                <w:b/>
                <w:color w:val="0070C0"/>
                <w:sz w:val="20"/>
                <w:szCs w:val="20"/>
              </w:rPr>
            </w:pPr>
          </w:p>
        </w:tc>
        <w:tc>
          <w:tcPr>
            <w:tcW w:w="1771"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11.234,7</w:t>
            </w:r>
          </w:p>
        </w:tc>
        <w:tc>
          <w:tcPr>
            <w:tcW w:w="1430" w:type="dxa"/>
            <w:tcBorders>
              <w:top w:val="single" w:sz="18" w:space="0" w:color="00000A"/>
              <w:bottom w:val="single" w:sz="18" w:space="0" w:color="00000A"/>
            </w:tcBorders>
            <w:shd w:val="clear" w:color="auto" w:fill="auto"/>
          </w:tcPr>
          <w:p w:rsidR="00F87902" w:rsidRDefault="00A519F9">
            <w:pPr>
              <w:ind w:left="283" w:right="283"/>
              <w:jc w:val="right"/>
              <w:rPr>
                <w:rFonts w:ascii="Arial" w:hAnsi="Arial" w:cs="Arial"/>
                <w:b/>
                <w:sz w:val="20"/>
                <w:szCs w:val="20"/>
              </w:rPr>
            </w:pPr>
            <w:r>
              <w:rPr>
                <w:rFonts w:ascii="Arial" w:hAnsi="Arial" w:cs="Arial"/>
                <w:b/>
                <w:sz w:val="20"/>
                <w:szCs w:val="20"/>
              </w:rPr>
              <w:t>90,6%</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rPr>
      </w:pPr>
    </w:p>
    <w:p w:rsidR="006D52EA" w:rsidRDefault="006D52EA">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2. Garantizar servicios de apoyo paraacadémico que coadyuven al desarrollo curricular exitoso de los estudiantes.</w:t>
      </w:r>
    </w:p>
    <w:p w:rsidR="00F87902" w:rsidRDefault="00F87902">
      <w:pPr>
        <w:spacing w:line="360" w:lineRule="auto"/>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2.1 Atender 168.282 requerimientos de información en el ámbito del Sistema de información documental de la Universidad Nacional que propicie el uso de la información académica y científica de calidad.       </w:t>
      </w:r>
    </w:p>
    <w:p w:rsidR="00F87902" w:rsidRDefault="00F87902">
      <w:pPr>
        <w:ind w:left="708"/>
        <w:jc w:val="both"/>
        <w:rPr>
          <w:rFonts w:ascii="Arial" w:hAnsi="Arial" w:cs="Arial"/>
          <w:b/>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Las actividades desarrolladas en el ámbito de esta meta conforman un cumplimiento del  </w:t>
      </w:r>
      <w:r>
        <w:rPr>
          <w:rFonts w:ascii="Arial" w:hAnsi="Arial" w:cs="Arial"/>
          <w:b/>
          <w:sz w:val="22"/>
          <w:szCs w:val="22"/>
        </w:rPr>
        <w:t>100%</w:t>
      </w:r>
      <w:r>
        <w:rPr>
          <w:rFonts w:ascii="Arial" w:hAnsi="Arial" w:cs="Arial"/>
          <w:sz w:val="22"/>
          <w:szCs w:val="22"/>
        </w:rPr>
        <w:t xml:space="preserve">(189.631) durante el año 2015, según detalle:   </w:t>
      </w:r>
    </w:p>
    <w:p w:rsidR="00F87902" w:rsidRDefault="00F87902">
      <w:pPr>
        <w:ind w:left="708"/>
        <w:jc w:val="both"/>
        <w:rPr>
          <w:rFonts w:ascii="Arial" w:hAnsi="Arial" w:cs="Arial"/>
          <w:b/>
          <w:i/>
          <w:color w:val="E36C0A" w:themeColor="accent6" w:themeShade="BF"/>
        </w:rPr>
      </w:pPr>
    </w:p>
    <w:p w:rsidR="00F87902" w:rsidRDefault="00A519F9">
      <w:pPr>
        <w:numPr>
          <w:ilvl w:val="0"/>
          <w:numId w:val="25"/>
        </w:numPr>
        <w:jc w:val="both"/>
      </w:pPr>
      <w:r>
        <w:rPr>
          <w:rFonts w:ascii="Arial" w:hAnsi="Arial" w:cs="Arial"/>
          <w:b/>
          <w:sz w:val="22"/>
          <w:szCs w:val="22"/>
        </w:rPr>
        <w:t xml:space="preserve">2 reuniones </w:t>
      </w:r>
      <w:r>
        <w:rPr>
          <w:rFonts w:ascii="Arial" w:hAnsi="Arial" w:cs="Arial"/>
          <w:sz w:val="22"/>
          <w:szCs w:val="22"/>
        </w:rPr>
        <w:t xml:space="preserve">del subcomité del </w:t>
      </w:r>
      <w:r>
        <w:rPr>
          <w:rFonts w:ascii="Arial" w:hAnsi="Arial" w:cs="Arial"/>
          <w:i/>
          <w:sz w:val="22"/>
          <w:szCs w:val="22"/>
        </w:rPr>
        <w:t xml:space="preserve">Sistema de información para las artes </w:t>
      </w:r>
      <w:r>
        <w:rPr>
          <w:rFonts w:ascii="Arial" w:hAnsi="Arial" w:cs="Arial"/>
          <w:sz w:val="22"/>
          <w:szCs w:val="22"/>
        </w:rPr>
        <w:t xml:space="preserve">(SIPA), en el ámbito del </w:t>
      </w:r>
      <w:r>
        <w:rPr>
          <w:rFonts w:ascii="Arial" w:hAnsi="Arial" w:cs="Arial"/>
          <w:i/>
          <w:sz w:val="22"/>
          <w:szCs w:val="22"/>
        </w:rPr>
        <w:t xml:space="preserve">Cidea, </w:t>
      </w:r>
      <w:r>
        <w:rPr>
          <w:rFonts w:ascii="Arial" w:hAnsi="Arial" w:cs="Arial"/>
          <w:sz w:val="22"/>
          <w:szCs w:val="22"/>
        </w:rPr>
        <w:t xml:space="preserve">a fin de coordinar las compras de las necesidades bibliográficas de las escuelas del </w:t>
      </w:r>
      <w:r>
        <w:rPr>
          <w:rFonts w:ascii="Arial" w:hAnsi="Arial" w:cs="Arial"/>
          <w:i/>
          <w:sz w:val="22"/>
          <w:szCs w:val="22"/>
        </w:rPr>
        <w:t>Cidea</w:t>
      </w:r>
      <w:r>
        <w:rPr>
          <w:rFonts w:ascii="Arial" w:hAnsi="Arial" w:cs="Arial"/>
          <w:sz w:val="22"/>
          <w:szCs w:val="22"/>
        </w:rPr>
        <w:t xml:space="preserve">, así como coordinar políticas internas por desarrollar sobre el quehacer del SIPA como biblioteca especializada del </w:t>
      </w:r>
      <w:r>
        <w:rPr>
          <w:rFonts w:ascii="Arial" w:hAnsi="Arial" w:cs="Arial"/>
          <w:i/>
          <w:sz w:val="22"/>
          <w:szCs w:val="22"/>
        </w:rPr>
        <w:t>Cidea</w:t>
      </w:r>
      <w:r>
        <w:rPr>
          <w:rFonts w:ascii="Arial" w:hAnsi="Arial" w:cs="Arial"/>
          <w:sz w:val="22"/>
          <w:szCs w:val="22"/>
        </w:rPr>
        <w:t xml:space="preserve"> (100%).  </w:t>
      </w:r>
    </w:p>
    <w:p w:rsidR="00F87902" w:rsidRDefault="00F87902">
      <w:pPr>
        <w:ind w:left="1080"/>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18 actividades</w:t>
      </w:r>
      <w:r>
        <w:rPr>
          <w:rFonts w:ascii="Arial" w:hAnsi="Arial" w:cs="Arial"/>
          <w:sz w:val="22"/>
          <w:szCs w:val="22"/>
        </w:rPr>
        <w:t xml:space="preserve"> de actualización y capacitación al personal del </w:t>
      </w:r>
      <w:r>
        <w:rPr>
          <w:rFonts w:ascii="Arial" w:hAnsi="Arial" w:cs="Arial"/>
          <w:i/>
          <w:sz w:val="22"/>
          <w:szCs w:val="22"/>
        </w:rPr>
        <w:t>Siduna</w:t>
      </w:r>
      <w:r>
        <w:rPr>
          <w:rFonts w:ascii="Arial" w:hAnsi="Arial" w:cs="Arial"/>
          <w:sz w:val="22"/>
          <w:szCs w:val="22"/>
        </w:rPr>
        <w:t xml:space="preserve"> (más del 100% estimado).     </w:t>
      </w:r>
    </w:p>
    <w:p w:rsidR="00F87902" w:rsidRDefault="00F87902">
      <w:pPr>
        <w:pStyle w:val="Prrafodelista"/>
        <w:rPr>
          <w:rFonts w:ascii="Arial" w:hAnsi="Arial" w:cs="Arial"/>
          <w:sz w:val="22"/>
          <w:szCs w:val="22"/>
        </w:rPr>
      </w:pPr>
    </w:p>
    <w:p w:rsidR="006D52EA" w:rsidRPr="006D52EA" w:rsidRDefault="00A519F9">
      <w:pPr>
        <w:numPr>
          <w:ilvl w:val="0"/>
          <w:numId w:val="25"/>
        </w:numPr>
        <w:jc w:val="both"/>
      </w:pPr>
      <w:r>
        <w:rPr>
          <w:rFonts w:ascii="Arial" w:hAnsi="Arial" w:cs="Arial"/>
          <w:b/>
          <w:sz w:val="22"/>
          <w:szCs w:val="22"/>
        </w:rPr>
        <w:t>20 actividades</w:t>
      </w:r>
      <w:r>
        <w:rPr>
          <w:rFonts w:ascii="Arial" w:hAnsi="Arial" w:cs="Arial"/>
          <w:sz w:val="22"/>
          <w:szCs w:val="22"/>
        </w:rPr>
        <w:t xml:space="preserve"> de actualización y capacitación al personal de las unidades de información en el uso del sistema </w:t>
      </w:r>
      <w:r>
        <w:rPr>
          <w:rFonts w:ascii="Arial" w:hAnsi="Arial" w:cs="Arial"/>
          <w:i/>
          <w:sz w:val="22"/>
          <w:szCs w:val="22"/>
        </w:rPr>
        <w:t>Aleph</w:t>
      </w:r>
      <w:r>
        <w:rPr>
          <w:rFonts w:ascii="Arial" w:hAnsi="Arial" w:cs="Arial"/>
          <w:sz w:val="22"/>
          <w:szCs w:val="22"/>
        </w:rPr>
        <w:t xml:space="preserve"> (100%).  </w:t>
      </w:r>
    </w:p>
    <w:p w:rsidR="006D52EA" w:rsidRDefault="006D52EA" w:rsidP="006D52EA">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550 consultas  técnicas atendidas</w:t>
      </w:r>
      <w:r>
        <w:rPr>
          <w:rFonts w:ascii="Arial" w:hAnsi="Arial" w:cs="Arial"/>
          <w:sz w:val="22"/>
          <w:szCs w:val="22"/>
        </w:rPr>
        <w:t xml:space="preserve">, sobre reparaciones, instalación y actualización de </w:t>
      </w:r>
      <w:r>
        <w:rPr>
          <w:rFonts w:ascii="Arial" w:hAnsi="Arial" w:cs="Arial"/>
          <w:i/>
          <w:sz w:val="22"/>
          <w:szCs w:val="22"/>
        </w:rPr>
        <w:t>software</w:t>
      </w:r>
      <w:r>
        <w:rPr>
          <w:rFonts w:ascii="Arial" w:hAnsi="Arial" w:cs="Arial"/>
          <w:sz w:val="22"/>
          <w:szCs w:val="22"/>
        </w:rPr>
        <w:t xml:space="preserve"> para las unidades de información del </w:t>
      </w:r>
      <w:r>
        <w:rPr>
          <w:rFonts w:ascii="Arial" w:hAnsi="Arial" w:cs="Arial"/>
          <w:i/>
          <w:sz w:val="22"/>
          <w:szCs w:val="22"/>
        </w:rPr>
        <w:t>Siduna</w:t>
      </w:r>
      <w:r>
        <w:rPr>
          <w:rFonts w:ascii="Arial" w:hAnsi="Arial" w:cs="Arial"/>
          <w:sz w:val="22"/>
          <w:szCs w:val="22"/>
        </w:rPr>
        <w:t xml:space="preserve"> (100%).   </w:t>
      </w:r>
    </w:p>
    <w:p w:rsidR="00F87902" w:rsidRDefault="00F87902">
      <w:pPr>
        <w:ind w:left="1068"/>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528 consultas atendidas</w:t>
      </w:r>
      <w:r>
        <w:rPr>
          <w:rFonts w:ascii="Arial" w:hAnsi="Arial" w:cs="Arial"/>
          <w:sz w:val="22"/>
          <w:szCs w:val="22"/>
        </w:rPr>
        <w:t xml:space="preserve"> sobre procesamiento técnico, realizadas por los funcionarios de las unidades de información del </w:t>
      </w:r>
      <w:r>
        <w:rPr>
          <w:rFonts w:ascii="Arial" w:hAnsi="Arial" w:cs="Arial"/>
          <w:i/>
          <w:sz w:val="22"/>
          <w:szCs w:val="22"/>
        </w:rPr>
        <w:t>Siduna</w:t>
      </w:r>
      <w:r>
        <w:rPr>
          <w:rFonts w:ascii="Arial" w:hAnsi="Arial" w:cs="Arial"/>
          <w:sz w:val="22"/>
          <w:szCs w:val="22"/>
        </w:rPr>
        <w:t xml:space="preserve">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1.080 consultas atendidas</w:t>
      </w:r>
      <w:r>
        <w:rPr>
          <w:rFonts w:ascii="Arial" w:hAnsi="Arial" w:cs="Arial"/>
          <w:sz w:val="22"/>
          <w:szCs w:val="22"/>
        </w:rPr>
        <w:t xml:space="preserve"> sobre el proceso de selección, adquisición documental y ejecución presupuestaria, realizadas por los funcionarios de las unidades de información del </w:t>
      </w:r>
      <w:r>
        <w:rPr>
          <w:rFonts w:ascii="Arial" w:hAnsi="Arial" w:cs="Arial"/>
          <w:i/>
          <w:sz w:val="22"/>
          <w:szCs w:val="22"/>
        </w:rPr>
        <w:t>Siduna</w:t>
      </w:r>
      <w:r>
        <w:rPr>
          <w:rFonts w:ascii="Arial" w:hAnsi="Arial" w:cs="Arial"/>
          <w:sz w:val="22"/>
          <w:szCs w:val="22"/>
        </w:rPr>
        <w:t>, unidades académicas y proveedores (90%).</w:t>
      </w:r>
    </w:p>
    <w:p w:rsidR="00F87902" w:rsidRDefault="00F87902">
      <w:pPr>
        <w:ind w:left="1428"/>
        <w:jc w:val="both"/>
        <w:rPr>
          <w:rFonts w:ascii="Arial" w:hAnsi="Arial" w:cs="Arial"/>
          <w:b/>
          <w:i/>
          <w:sz w:val="22"/>
          <w:szCs w:val="22"/>
        </w:rPr>
      </w:pPr>
    </w:p>
    <w:p w:rsidR="00F87902" w:rsidRDefault="00A519F9">
      <w:pPr>
        <w:numPr>
          <w:ilvl w:val="0"/>
          <w:numId w:val="25"/>
        </w:numPr>
        <w:jc w:val="both"/>
      </w:pPr>
      <w:r>
        <w:rPr>
          <w:rFonts w:ascii="Arial" w:hAnsi="Arial" w:cs="Arial"/>
          <w:b/>
          <w:sz w:val="22"/>
          <w:szCs w:val="22"/>
        </w:rPr>
        <w:t>426 consultas atendidas</w:t>
      </w:r>
      <w:r>
        <w:rPr>
          <w:rFonts w:ascii="Arial" w:hAnsi="Arial" w:cs="Arial"/>
          <w:sz w:val="22"/>
          <w:szCs w:val="22"/>
        </w:rPr>
        <w:t xml:space="preserve"> sobre el uso de bases de datos disponibles para el </w:t>
      </w:r>
      <w:r>
        <w:rPr>
          <w:rFonts w:ascii="Arial" w:hAnsi="Arial" w:cs="Arial"/>
          <w:i/>
          <w:sz w:val="22"/>
          <w:szCs w:val="22"/>
        </w:rPr>
        <w:t>Siduna</w:t>
      </w:r>
      <w:r>
        <w:rPr>
          <w:rFonts w:ascii="Arial" w:hAnsi="Arial" w:cs="Arial"/>
          <w:sz w:val="22"/>
          <w:szCs w:val="22"/>
        </w:rPr>
        <w:t xml:space="preserve">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10 servicios ofertados</w:t>
      </w:r>
      <w:r>
        <w:rPr>
          <w:rFonts w:ascii="Arial" w:hAnsi="Arial" w:cs="Arial"/>
          <w:sz w:val="22"/>
          <w:szCs w:val="22"/>
        </w:rPr>
        <w:t xml:space="preserve"> en todos los horarios que brindan las unidades de información  del </w:t>
      </w:r>
      <w:r>
        <w:rPr>
          <w:rFonts w:ascii="Arial" w:hAnsi="Arial" w:cs="Arial"/>
          <w:i/>
          <w:sz w:val="22"/>
          <w:szCs w:val="22"/>
        </w:rPr>
        <w:t>Siduna</w:t>
      </w:r>
      <w:r>
        <w:rPr>
          <w:rFonts w:ascii="Arial" w:hAnsi="Arial" w:cs="Arial"/>
          <w:sz w:val="22"/>
          <w:szCs w:val="22"/>
        </w:rPr>
        <w:t xml:space="preserve">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8 procesos de gestión</w:t>
      </w:r>
      <w:r>
        <w:rPr>
          <w:rFonts w:ascii="Arial" w:hAnsi="Arial" w:cs="Arial"/>
          <w:sz w:val="22"/>
          <w:szCs w:val="22"/>
        </w:rPr>
        <w:t xml:space="preserve"> de compra de material bibliográfico coordinados con las unidades de información, unidades académicas, facultades y otras instancias (100%).        </w:t>
      </w:r>
    </w:p>
    <w:p w:rsidR="00F87902" w:rsidRDefault="00F87902">
      <w:pPr>
        <w:jc w:val="both"/>
        <w:rPr>
          <w:rFonts w:ascii="Arial" w:hAnsi="Arial" w:cs="Arial"/>
          <w:b/>
          <w:i/>
          <w:color w:val="E36C0A" w:themeColor="accent6" w:themeShade="BF"/>
          <w:sz w:val="22"/>
          <w:szCs w:val="22"/>
        </w:rPr>
      </w:pPr>
    </w:p>
    <w:p w:rsidR="00F87902" w:rsidRDefault="00A519F9">
      <w:pPr>
        <w:numPr>
          <w:ilvl w:val="0"/>
          <w:numId w:val="25"/>
        </w:numPr>
        <w:jc w:val="both"/>
      </w:pPr>
      <w:r>
        <w:rPr>
          <w:rFonts w:ascii="Arial" w:hAnsi="Arial" w:cs="Arial"/>
          <w:b/>
          <w:sz w:val="22"/>
          <w:szCs w:val="22"/>
        </w:rPr>
        <w:t>120 bases de datos</w:t>
      </w:r>
      <w:r>
        <w:rPr>
          <w:rFonts w:ascii="Arial" w:hAnsi="Arial" w:cs="Arial"/>
          <w:sz w:val="22"/>
          <w:szCs w:val="22"/>
        </w:rPr>
        <w:t xml:space="preserve">  para el </w:t>
      </w:r>
      <w:r>
        <w:rPr>
          <w:rFonts w:ascii="Arial" w:hAnsi="Arial" w:cs="Arial"/>
          <w:i/>
          <w:sz w:val="22"/>
          <w:szCs w:val="22"/>
        </w:rPr>
        <w:t>Siduna</w:t>
      </w:r>
      <w:r>
        <w:rPr>
          <w:rFonts w:ascii="Arial" w:hAnsi="Arial" w:cs="Arial"/>
          <w:sz w:val="22"/>
          <w:szCs w:val="22"/>
        </w:rPr>
        <w:t xml:space="preserve"> cuya gestión de suscripción se ha realizado (más del 100% estimado). </w:t>
      </w:r>
    </w:p>
    <w:p w:rsidR="00F87902" w:rsidRDefault="00A519F9">
      <w:pPr>
        <w:numPr>
          <w:ilvl w:val="0"/>
          <w:numId w:val="25"/>
        </w:numPr>
        <w:jc w:val="both"/>
      </w:pPr>
      <w:r>
        <w:rPr>
          <w:rFonts w:ascii="Arial" w:hAnsi="Arial" w:cs="Arial"/>
          <w:b/>
          <w:sz w:val="22"/>
          <w:szCs w:val="22"/>
        </w:rPr>
        <w:t>136 títulos de revistas científicas</w:t>
      </w:r>
      <w:r>
        <w:rPr>
          <w:rFonts w:ascii="Arial" w:hAnsi="Arial" w:cs="Arial"/>
          <w:sz w:val="22"/>
          <w:szCs w:val="22"/>
        </w:rPr>
        <w:t xml:space="preserve"> para el </w:t>
      </w:r>
      <w:r>
        <w:rPr>
          <w:rFonts w:ascii="Arial" w:hAnsi="Arial" w:cs="Arial"/>
          <w:i/>
          <w:sz w:val="22"/>
          <w:szCs w:val="22"/>
        </w:rPr>
        <w:t>Siduna</w:t>
      </w:r>
      <w:r>
        <w:rPr>
          <w:rFonts w:ascii="Arial" w:hAnsi="Arial" w:cs="Arial"/>
          <w:sz w:val="22"/>
          <w:szCs w:val="22"/>
        </w:rPr>
        <w:t xml:space="preserve">, cuya suscripción se ha gestionado (91%).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4.199 títulos</w:t>
      </w:r>
      <w:r>
        <w:rPr>
          <w:rFonts w:ascii="Arial" w:hAnsi="Arial" w:cs="Arial"/>
          <w:sz w:val="22"/>
          <w:szCs w:val="22"/>
        </w:rPr>
        <w:t xml:space="preserve"> cuya gestión de compra fue gestionada en forma centralizada, a partir de los presupuestos asignados en el ámbito institucional, para la compra de ese tipo de material (100%).</w:t>
      </w:r>
    </w:p>
    <w:p w:rsidR="00F87902" w:rsidRDefault="00F87902">
      <w:pPr>
        <w:ind w:left="1080"/>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448 empastes</w:t>
      </w:r>
      <w:r>
        <w:rPr>
          <w:rFonts w:ascii="Arial" w:hAnsi="Arial" w:cs="Arial"/>
          <w:sz w:val="22"/>
          <w:szCs w:val="22"/>
        </w:rPr>
        <w:t xml:space="preserve"> de documentos de las colecciones del </w:t>
      </w:r>
      <w:r>
        <w:rPr>
          <w:rFonts w:ascii="Arial" w:hAnsi="Arial" w:cs="Arial"/>
          <w:i/>
          <w:sz w:val="22"/>
          <w:szCs w:val="22"/>
        </w:rPr>
        <w:t>Siduna</w:t>
      </w:r>
      <w:r>
        <w:rPr>
          <w:rFonts w:ascii="Arial" w:hAnsi="Arial" w:cs="Arial"/>
          <w:sz w:val="22"/>
          <w:szCs w:val="22"/>
        </w:rPr>
        <w:t xml:space="preserve"> (90%).</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7.102 documentos</w:t>
      </w:r>
      <w:r>
        <w:rPr>
          <w:rFonts w:ascii="Arial" w:hAnsi="Arial" w:cs="Arial"/>
          <w:sz w:val="22"/>
          <w:szCs w:val="22"/>
        </w:rPr>
        <w:t xml:space="preserve"> catalogados, clasificados e indizados para el </w:t>
      </w:r>
      <w:r>
        <w:rPr>
          <w:rFonts w:ascii="Arial" w:hAnsi="Arial" w:cs="Arial"/>
          <w:i/>
          <w:sz w:val="22"/>
          <w:szCs w:val="22"/>
        </w:rPr>
        <w:t>Siduna</w:t>
      </w:r>
      <w:r>
        <w:rPr>
          <w:rFonts w:ascii="Arial" w:hAnsi="Arial" w:cs="Arial"/>
          <w:sz w:val="22"/>
          <w:szCs w:val="22"/>
        </w:rPr>
        <w:t xml:space="preserve"> (más del 100% estimado).</w:t>
      </w:r>
    </w:p>
    <w:p w:rsidR="00F87902" w:rsidRDefault="00F87902">
      <w:pPr>
        <w:pStyle w:val="Prrafodelista"/>
        <w:ind w:left="1428"/>
        <w:rPr>
          <w:rFonts w:ascii="Arial" w:hAnsi="Arial" w:cs="Arial"/>
          <w:b/>
          <w:i/>
          <w:sz w:val="22"/>
          <w:szCs w:val="22"/>
        </w:rPr>
      </w:pPr>
    </w:p>
    <w:p w:rsidR="00F87902" w:rsidRDefault="00A519F9">
      <w:pPr>
        <w:numPr>
          <w:ilvl w:val="0"/>
          <w:numId w:val="25"/>
        </w:numPr>
        <w:jc w:val="both"/>
      </w:pPr>
      <w:r>
        <w:rPr>
          <w:rFonts w:ascii="Arial" w:hAnsi="Arial" w:cs="Arial"/>
          <w:b/>
          <w:sz w:val="22"/>
          <w:szCs w:val="22"/>
        </w:rPr>
        <w:t>141 resúmenes de tesis y video grabaciones</w:t>
      </w:r>
      <w:r>
        <w:rPr>
          <w:rFonts w:ascii="Arial" w:hAnsi="Arial" w:cs="Arial"/>
          <w:sz w:val="22"/>
          <w:szCs w:val="22"/>
        </w:rPr>
        <w:t xml:space="preserve"> elaborados (56%).</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2.864 autoridades de autor y de materia</w:t>
      </w:r>
      <w:r>
        <w:rPr>
          <w:rFonts w:ascii="Arial" w:hAnsi="Arial" w:cs="Arial"/>
          <w:sz w:val="22"/>
          <w:szCs w:val="22"/>
        </w:rPr>
        <w:t xml:space="preserve"> ingresados o modificados en el control de autoridades en </w:t>
      </w:r>
      <w:r>
        <w:rPr>
          <w:rFonts w:ascii="Arial" w:hAnsi="Arial" w:cs="Arial"/>
          <w:i/>
          <w:sz w:val="22"/>
          <w:szCs w:val="22"/>
        </w:rPr>
        <w:t>Aleph</w:t>
      </w:r>
      <w:r>
        <w:rPr>
          <w:rFonts w:ascii="Arial" w:hAnsi="Arial" w:cs="Arial"/>
          <w:sz w:val="22"/>
          <w:szCs w:val="22"/>
        </w:rPr>
        <w:t>(más del 100% estimado).</w:t>
      </w:r>
    </w:p>
    <w:p w:rsidR="00F87902" w:rsidRDefault="00F87902">
      <w:pPr>
        <w:ind w:left="1428"/>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1.174 respaldos</w:t>
      </w:r>
      <w:r>
        <w:rPr>
          <w:rFonts w:ascii="Arial" w:hAnsi="Arial" w:cs="Arial"/>
          <w:sz w:val="22"/>
          <w:szCs w:val="22"/>
        </w:rPr>
        <w:t xml:space="preserve"> realizados de las bases de datos de </w:t>
      </w:r>
      <w:r>
        <w:rPr>
          <w:rFonts w:ascii="Arial" w:hAnsi="Arial" w:cs="Arial"/>
          <w:i/>
          <w:sz w:val="22"/>
          <w:szCs w:val="22"/>
        </w:rPr>
        <w:t>Aleph</w:t>
      </w:r>
      <w:r>
        <w:rPr>
          <w:rFonts w:ascii="Arial" w:hAnsi="Arial" w:cs="Arial"/>
          <w:sz w:val="22"/>
          <w:szCs w:val="22"/>
        </w:rPr>
        <w:t xml:space="preserve"> (más del 100% estimado).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310 tareas de mantenimiento</w:t>
      </w:r>
      <w:r>
        <w:rPr>
          <w:rFonts w:ascii="Arial" w:hAnsi="Arial" w:cs="Arial"/>
          <w:sz w:val="22"/>
          <w:szCs w:val="22"/>
        </w:rPr>
        <w:t xml:space="preserve"> del servidor por la optimización del funcionamiento de </w:t>
      </w:r>
      <w:r>
        <w:rPr>
          <w:rFonts w:ascii="Arial" w:hAnsi="Arial" w:cs="Arial"/>
          <w:i/>
          <w:sz w:val="22"/>
          <w:szCs w:val="22"/>
        </w:rPr>
        <w:t>Aleph</w:t>
      </w:r>
      <w:r>
        <w:rPr>
          <w:rFonts w:ascii="Arial" w:hAnsi="Arial" w:cs="Arial"/>
          <w:sz w:val="22"/>
          <w:szCs w:val="22"/>
        </w:rPr>
        <w:t xml:space="preserve"> (más del 100% estimado).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664 modificaciones y correcciones</w:t>
      </w:r>
      <w:r>
        <w:rPr>
          <w:rFonts w:ascii="Arial" w:hAnsi="Arial" w:cs="Arial"/>
          <w:sz w:val="22"/>
          <w:szCs w:val="22"/>
        </w:rPr>
        <w:t xml:space="preserve"> de elementos catalográficos en la base de datos </w:t>
      </w:r>
      <w:r>
        <w:rPr>
          <w:rFonts w:ascii="Arial" w:hAnsi="Arial" w:cs="Arial"/>
          <w:i/>
          <w:sz w:val="22"/>
          <w:szCs w:val="22"/>
        </w:rPr>
        <w:t>online</w:t>
      </w:r>
      <w:r>
        <w:rPr>
          <w:rFonts w:ascii="Arial" w:hAnsi="Arial" w:cs="Arial"/>
          <w:sz w:val="22"/>
          <w:szCs w:val="22"/>
        </w:rPr>
        <w:t xml:space="preserve"> OPAC, se realizaron correcciones en registros de enciclopedias (más del 100% estimado).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600 documentos</w:t>
      </w:r>
      <w:r>
        <w:rPr>
          <w:rFonts w:ascii="Arial" w:hAnsi="Arial" w:cs="Arial"/>
          <w:sz w:val="22"/>
          <w:szCs w:val="22"/>
        </w:rPr>
        <w:t xml:space="preserve"> procesados de las colecciones de libros antiguos y especiales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 xml:space="preserve">6.867 productos distribuidos </w:t>
      </w:r>
      <w:r>
        <w:rPr>
          <w:rFonts w:ascii="Arial" w:hAnsi="Arial" w:cs="Arial"/>
          <w:sz w:val="22"/>
          <w:szCs w:val="22"/>
        </w:rPr>
        <w:t>para la promoción y difusión de los servicios (70%).</w:t>
      </w:r>
    </w:p>
    <w:p w:rsidR="00F87902" w:rsidRDefault="00F87902">
      <w:pPr>
        <w:pStyle w:val="Prrafodelista"/>
        <w:rPr>
          <w:rFonts w:ascii="Arial" w:hAnsi="Arial" w:cs="Arial"/>
          <w:b/>
          <w:i/>
          <w:sz w:val="22"/>
          <w:szCs w:val="22"/>
        </w:rPr>
      </w:pPr>
    </w:p>
    <w:p w:rsidR="00F87902" w:rsidRDefault="00A519F9">
      <w:pPr>
        <w:numPr>
          <w:ilvl w:val="0"/>
          <w:numId w:val="25"/>
        </w:numPr>
        <w:jc w:val="both"/>
      </w:pPr>
      <w:r>
        <w:rPr>
          <w:rFonts w:ascii="Arial" w:hAnsi="Arial" w:cs="Arial"/>
          <w:b/>
          <w:sz w:val="22"/>
          <w:szCs w:val="22"/>
        </w:rPr>
        <w:t>39.725 consultas</w:t>
      </w:r>
      <w:r>
        <w:rPr>
          <w:rFonts w:ascii="Arial" w:hAnsi="Arial" w:cs="Arial"/>
          <w:sz w:val="22"/>
          <w:szCs w:val="22"/>
        </w:rPr>
        <w:t xml:space="preserve"> atendidas de orientación a usuarios (100%).</w:t>
      </w:r>
    </w:p>
    <w:p w:rsidR="00F87902" w:rsidRDefault="00F87902">
      <w:pPr>
        <w:ind w:left="1428"/>
        <w:jc w:val="both"/>
        <w:rPr>
          <w:rFonts w:ascii="Arial" w:hAnsi="Arial" w:cs="Arial"/>
          <w:b/>
          <w:i/>
          <w:sz w:val="22"/>
          <w:szCs w:val="22"/>
        </w:rPr>
      </w:pPr>
    </w:p>
    <w:p w:rsidR="00F87902" w:rsidRDefault="00A519F9">
      <w:pPr>
        <w:numPr>
          <w:ilvl w:val="0"/>
          <w:numId w:val="25"/>
        </w:numPr>
        <w:jc w:val="both"/>
      </w:pPr>
      <w:r>
        <w:rPr>
          <w:rFonts w:ascii="Arial" w:hAnsi="Arial" w:cs="Arial"/>
          <w:b/>
          <w:sz w:val="22"/>
          <w:szCs w:val="22"/>
        </w:rPr>
        <w:t>3.031 usuarios atendidos</w:t>
      </w:r>
      <w:r>
        <w:rPr>
          <w:rFonts w:ascii="Arial" w:hAnsi="Arial" w:cs="Arial"/>
          <w:sz w:val="22"/>
          <w:szCs w:val="22"/>
        </w:rPr>
        <w:t xml:space="preserve"> en actividades de alfabetización informacional (100%).</w:t>
      </w:r>
    </w:p>
    <w:p w:rsidR="00F87902" w:rsidRDefault="00F87902">
      <w:pPr>
        <w:ind w:left="1428"/>
        <w:jc w:val="both"/>
        <w:rPr>
          <w:rFonts w:ascii="Arial" w:hAnsi="Arial" w:cs="Arial"/>
          <w:b/>
          <w:i/>
          <w:sz w:val="22"/>
          <w:szCs w:val="22"/>
        </w:rPr>
      </w:pPr>
    </w:p>
    <w:p w:rsidR="00F87902" w:rsidRDefault="00A519F9">
      <w:pPr>
        <w:numPr>
          <w:ilvl w:val="0"/>
          <w:numId w:val="25"/>
        </w:numPr>
        <w:jc w:val="both"/>
      </w:pPr>
      <w:r>
        <w:rPr>
          <w:rFonts w:ascii="Arial" w:hAnsi="Arial" w:cs="Arial"/>
          <w:b/>
          <w:sz w:val="22"/>
          <w:szCs w:val="22"/>
        </w:rPr>
        <w:lastRenderedPageBreak/>
        <w:t>10.512 usuarios atendidos</w:t>
      </w:r>
      <w:r>
        <w:rPr>
          <w:rFonts w:ascii="Arial" w:hAnsi="Arial" w:cs="Arial"/>
          <w:sz w:val="22"/>
          <w:szCs w:val="22"/>
        </w:rPr>
        <w:t xml:space="preserve"> en servicios especializados de información (bases de datos, DSI, alerta, bibliografías, apoyo audiovisual para actividades universitarias), 100%.</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166 servicios</w:t>
      </w:r>
      <w:r>
        <w:rPr>
          <w:rFonts w:ascii="Arial" w:hAnsi="Arial" w:cs="Arial"/>
          <w:sz w:val="22"/>
          <w:szCs w:val="22"/>
        </w:rPr>
        <w:t xml:space="preserve"> de apoyo gestionados a usuarios con discapacidad (100%).</w:t>
      </w:r>
    </w:p>
    <w:p w:rsidR="00F87902" w:rsidRDefault="00F87902">
      <w:pPr>
        <w:ind w:left="1428"/>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127 documentos</w:t>
      </w:r>
      <w:r>
        <w:rPr>
          <w:rFonts w:ascii="Arial" w:hAnsi="Arial" w:cs="Arial"/>
          <w:sz w:val="22"/>
          <w:szCs w:val="22"/>
        </w:rPr>
        <w:t xml:space="preserve"> en préstamo interbibliotecario gestionados (84%).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169 documentos</w:t>
      </w:r>
      <w:r>
        <w:rPr>
          <w:rFonts w:ascii="Arial" w:hAnsi="Arial" w:cs="Arial"/>
          <w:sz w:val="22"/>
          <w:szCs w:val="22"/>
        </w:rPr>
        <w:t xml:space="preserve"> en préstamo interbibliotecario facilitados (100%). </w:t>
      </w:r>
    </w:p>
    <w:p w:rsidR="00F87902" w:rsidRDefault="00F87902">
      <w:pPr>
        <w:ind w:left="1428"/>
        <w:jc w:val="both"/>
        <w:rPr>
          <w:rFonts w:ascii="Arial" w:hAnsi="Arial" w:cs="Arial"/>
          <w:sz w:val="22"/>
          <w:szCs w:val="22"/>
        </w:rPr>
      </w:pPr>
    </w:p>
    <w:p w:rsidR="00F87902" w:rsidRDefault="00A519F9">
      <w:pPr>
        <w:numPr>
          <w:ilvl w:val="0"/>
          <w:numId w:val="25"/>
        </w:numPr>
        <w:jc w:val="both"/>
      </w:pPr>
      <w:r>
        <w:rPr>
          <w:rFonts w:ascii="Arial" w:hAnsi="Arial" w:cs="Arial"/>
          <w:b/>
          <w:sz w:val="22"/>
          <w:szCs w:val="22"/>
        </w:rPr>
        <w:t>44.682 préstamos</w:t>
      </w:r>
      <w:r>
        <w:rPr>
          <w:rFonts w:ascii="Arial" w:hAnsi="Arial" w:cs="Arial"/>
          <w:sz w:val="22"/>
          <w:szCs w:val="22"/>
        </w:rPr>
        <w:t xml:space="preserve"> de documentos realizados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1.680 préstamos</w:t>
      </w:r>
      <w:r>
        <w:rPr>
          <w:rFonts w:ascii="Arial" w:hAnsi="Arial" w:cs="Arial"/>
          <w:sz w:val="22"/>
          <w:szCs w:val="22"/>
        </w:rPr>
        <w:t xml:space="preserve"> en salas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22.273 préstamos de equipos</w:t>
      </w:r>
      <w:r>
        <w:rPr>
          <w:rFonts w:ascii="Arial" w:hAnsi="Arial" w:cs="Arial"/>
          <w:sz w:val="22"/>
          <w:szCs w:val="22"/>
        </w:rPr>
        <w:t xml:space="preserve"> audiovisuales y tecnológicos (100%).</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29.977 impresiones facilitadas</w:t>
      </w:r>
      <w:r>
        <w:rPr>
          <w:rFonts w:ascii="Arial" w:hAnsi="Arial" w:cs="Arial"/>
          <w:sz w:val="22"/>
          <w:szCs w:val="22"/>
        </w:rPr>
        <w:t xml:space="preserve"> por medio del proyecto de recuperación de costos de </w:t>
      </w:r>
      <w:r>
        <w:rPr>
          <w:rFonts w:ascii="Arial" w:hAnsi="Arial" w:cs="Arial"/>
          <w:i/>
          <w:sz w:val="22"/>
          <w:szCs w:val="22"/>
        </w:rPr>
        <w:t>Fundauna</w:t>
      </w:r>
      <w:r>
        <w:rPr>
          <w:rFonts w:ascii="Arial" w:hAnsi="Arial" w:cs="Arial"/>
          <w:sz w:val="22"/>
          <w:szCs w:val="22"/>
        </w:rPr>
        <w:t xml:space="preserve"> (100%). </w:t>
      </w:r>
    </w:p>
    <w:p w:rsidR="00F87902" w:rsidRDefault="00A519F9">
      <w:pPr>
        <w:numPr>
          <w:ilvl w:val="0"/>
          <w:numId w:val="25"/>
        </w:numPr>
        <w:jc w:val="both"/>
      </w:pPr>
      <w:r>
        <w:rPr>
          <w:rFonts w:ascii="Arial" w:hAnsi="Arial" w:cs="Arial"/>
          <w:b/>
          <w:sz w:val="22"/>
          <w:szCs w:val="22"/>
        </w:rPr>
        <w:t>7 informes</w:t>
      </w:r>
      <w:r>
        <w:rPr>
          <w:rFonts w:ascii="Arial" w:hAnsi="Arial" w:cs="Arial"/>
          <w:sz w:val="22"/>
          <w:szCs w:val="22"/>
        </w:rPr>
        <w:t xml:space="preserve"> realizados para la acreditación de carreras (70%).</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20 bases de datos</w:t>
      </w:r>
      <w:r>
        <w:rPr>
          <w:rFonts w:ascii="Arial" w:hAnsi="Arial" w:cs="Arial"/>
          <w:sz w:val="22"/>
          <w:szCs w:val="22"/>
        </w:rPr>
        <w:t xml:space="preserve"> adquiridas de manera cooperativa para el fortalecimiento de las colecciones del </w:t>
      </w:r>
      <w:r>
        <w:rPr>
          <w:rFonts w:ascii="Arial" w:hAnsi="Arial" w:cs="Arial"/>
          <w:i/>
          <w:sz w:val="22"/>
          <w:szCs w:val="22"/>
        </w:rPr>
        <w:t>Siduna</w:t>
      </w:r>
      <w:r>
        <w:rPr>
          <w:rFonts w:ascii="Arial" w:hAnsi="Arial" w:cs="Arial"/>
          <w:sz w:val="22"/>
          <w:szCs w:val="22"/>
        </w:rPr>
        <w:t xml:space="preserve"> (100%).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 xml:space="preserve">2 redes de información </w:t>
      </w:r>
      <w:r>
        <w:rPr>
          <w:rFonts w:ascii="Arial" w:hAnsi="Arial" w:cs="Arial"/>
          <w:sz w:val="22"/>
          <w:szCs w:val="22"/>
        </w:rPr>
        <w:t xml:space="preserve">en las cuales participa el </w:t>
      </w:r>
      <w:r>
        <w:rPr>
          <w:rFonts w:ascii="Arial" w:hAnsi="Arial" w:cs="Arial"/>
          <w:i/>
          <w:sz w:val="22"/>
          <w:szCs w:val="22"/>
        </w:rPr>
        <w:t>Siduna</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sz w:val="22"/>
          <w:szCs w:val="22"/>
        </w:rPr>
        <w:t xml:space="preserve">Participación en la </w:t>
      </w:r>
      <w:r>
        <w:rPr>
          <w:rFonts w:ascii="Arial" w:hAnsi="Arial" w:cs="Arial"/>
          <w:b/>
          <w:sz w:val="22"/>
          <w:szCs w:val="22"/>
        </w:rPr>
        <w:t>reunión anual</w:t>
      </w:r>
      <w:r>
        <w:rPr>
          <w:rFonts w:ascii="Arial" w:hAnsi="Arial" w:cs="Arial"/>
          <w:sz w:val="22"/>
          <w:szCs w:val="22"/>
        </w:rPr>
        <w:t xml:space="preserve"> de </w:t>
      </w:r>
      <w:r>
        <w:rPr>
          <w:rFonts w:ascii="Arial" w:hAnsi="Arial" w:cs="Arial"/>
          <w:i/>
          <w:sz w:val="22"/>
          <w:szCs w:val="22"/>
        </w:rPr>
        <w:t>Rednia</w:t>
      </w:r>
      <w:r>
        <w:rPr>
          <w:rFonts w:ascii="Arial" w:hAnsi="Arial" w:cs="Arial"/>
          <w:sz w:val="22"/>
          <w:szCs w:val="22"/>
        </w:rPr>
        <w:t xml:space="preserve"> (100%). </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119 registros bibliográficos</w:t>
      </w:r>
      <w:r>
        <w:rPr>
          <w:rFonts w:ascii="Arial" w:hAnsi="Arial" w:cs="Arial"/>
          <w:sz w:val="22"/>
          <w:szCs w:val="22"/>
        </w:rPr>
        <w:t xml:space="preserve"> seleccionados y enviados a </w:t>
      </w:r>
      <w:r>
        <w:rPr>
          <w:rFonts w:ascii="Arial" w:hAnsi="Arial" w:cs="Arial"/>
          <w:i/>
          <w:sz w:val="22"/>
          <w:szCs w:val="22"/>
        </w:rPr>
        <w:t>Rednia</w:t>
      </w:r>
      <w:r>
        <w:rPr>
          <w:rFonts w:ascii="Arial" w:hAnsi="Arial" w:cs="Arial"/>
          <w:sz w:val="22"/>
          <w:szCs w:val="22"/>
        </w:rPr>
        <w:t xml:space="preserve"> (80%).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2.309 nuevos documentos y artículos</w:t>
      </w:r>
      <w:r>
        <w:rPr>
          <w:rFonts w:ascii="Arial" w:hAnsi="Arial" w:cs="Arial"/>
          <w:sz w:val="22"/>
          <w:szCs w:val="22"/>
        </w:rPr>
        <w:t xml:space="preserve"> incorporados a las colecciones de la Facultad de Ciencias Sociales, con descriptores y resumen, correspondientes a las áreas de interés definidas (100%); </w:t>
      </w:r>
      <w:r>
        <w:rPr>
          <w:rFonts w:ascii="Arial" w:hAnsi="Arial" w:cs="Arial"/>
          <w:b/>
          <w:sz w:val="22"/>
          <w:szCs w:val="22"/>
        </w:rPr>
        <w:t>91% de logro</w:t>
      </w:r>
      <w:r>
        <w:rPr>
          <w:rFonts w:ascii="Arial" w:hAnsi="Arial" w:cs="Arial"/>
          <w:sz w:val="22"/>
          <w:szCs w:val="22"/>
        </w:rPr>
        <w:t xml:space="preserve"> en la diseminación periódica de las nuevas adquisiciones por medio del boletín Alerta, empleando la UNANet; </w:t>
      </w:r>
      <w:r>
        <w:rPr>
          <w:rFonts w:ascii="Arial" w:hAnsi="Arial" w:cs="Arial"/>
          <w:b/>
          <w:sz w:val="22"/>
          <w:szCs w:val="22"/>
        </w:rPr>
        <w:t>2.309 nuevas referencias</w:t>
      </w:r>
      <w:r>
        <w:rPr>
          <w:rFonts w:ascii="Arial" w:hAnsi="Arial" w:cs="Arial"/>
          <w:sz w:val="22"/>
          <w:szCs w:val="22"/>
        </w:rPr>
        <w:t xml:space="preserve"> incluidas en la base de datos de materiales adquiridos y procesados que pertenezcan al Fondo (más del 100% estimado); </w:t>
      </w:r>
      <w:r>
        <w:rPr>
          <w:rFonts w:ascii="Arial" w:hAnsi="Arial" w:cs="Arial"/>
          <w:b/>
          <w:sz w:val="22"/>
          <w:szCs w:val="22"/>
        </w:rPr>
        <w:t>4 nuevas relaciones</w:t>
      </w:r>
      <w:r>
        <w:rPr>
          <w:rFonts w:ascii="Arial" w:hAnsi="Arial" w:cs="Arial"/>
          <w:sz w:val="22"/>
          <w:szCs w:val="22"/>
        </w:rPr>
        <w:t xml:space="preserve"> de canje con nuevas instituciones y otras organizaciones de producción intelectual de interés para la investigación en ciencias sociales, y establecer con ellas relaciones permanentes de intercambio (50%); </w:t>
      </w:r>
      <w:r>
        <w:rPr>
          <w:rFonts w:ascii="Arial" w:hAnsi="Arial" w:cs="Arial"/>
          <w:b/>
          <w:sz w:val="22"/>
          <w:szCs w:val="22"/>
        </w:rPr>
        <w:t>47 tablas de contenido</w:t>
      </w:r>
      <w:r>
        <w:rPr>
          <w:rFonts w:ascii="Arial" w:hAnsi="Arial" w:cs="Arial"/>
          <w:sz w:val="22"/>
          <w:szCs w:val="22"/>
        </w:rPr>
        <w:t xml:space="preserve"> de revistas incluidas como información recuperable al catálogo colectivo de publicaciones periódicas (más del 100% estimado); </w:t>
      </w:r>
      <w:r>
        <w:rPr>
          <w:rFonts w:ascii="Arial" w:hAnsi="Arial" w:cs="Arial"/>
          <w:b/>
          <w:sz w:val="22"/>
          <w:szCs w:val="22"/>
        </w:rPr>
        <w:t>2.309 documentos incorporados</w:t>
      </w:r>
      <w:r>
        <w:rPr>
          <w:rFonts w:ascii="Arial" w:hAnsi="Arial" w:cs="Arial"/>
          <w:sz w:val="22"/>
          <w:szCs w:val="22"/>
        </w:rPr>
        <w:t xml:space="preserve"> a la Biblioteca Virtual (más del 100% estimado). </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2 exposiciones</w:t>
      </w:r>
      <w:r>
        <w:rPr>
          <w:rFonts w:ascii="Arial" w:hAnsi="Arial" w:cs="Arial"/>
          <w:sz w:val="22"/>
          <w:szCs w:val="22"/>
        </w:rPr>
        <w:t xml:space="preserve"> realizadas en la galería de arte ubicada en el auditorio de la Facultad de Filosofía y Letras (100%).</w:t>
      </w:r>
    </w:p>
    <w:p w:rsidR="00F87902" w:rsidRDefault="00F87902">
      <w:pPr>
        <w:pStyle w:val="Prrafodelista"/>
        <w:rPr>
          <w:rFonts w:ascii="Arial" w:hAnsi="Arial" w:cs="Arial"/>
          <w:sz w:val="22"/>
          <w:szCs w:val="22"/>
        </w:rPr>
      </w:pPr>
    </w:p>
    <w:p w:rsidR="00F87902" w:rsidRDefault="00A519F9">
      <w:pPr>
        <w:numPr>
          <w:ilvl w:val="0"/>
          <w:numId w:val="25"/>
        </w:numPr>
        <w:jc w:val="both"/>
      </w:pPr>
      <w:r>
        <w:rPr>
          <w:rFonts w:ascii="Arial" w:hAnsi="Arial" w:cs="Arial"/>
          <w:b/>
          <w:sz w:val="22"/>
          <w:szCs w:val="22"/>
        </w:rPr>
        <w:t xml:space="preserve">19.953 actividades realizadas </w:t>
      </w:r>
      <w:r>
        <w:rPr>
          <w:rFonts w:ascii="Arial" w:hAnsi="Arial" w:cs="Arial"/>
          <w:sz w:val="22"/>
          <w:szCs w:val="22"/>
        </w:rPr>
        <w:t xml:space="preserve">en el ámbito del </w:t>
      </w:r>
      <w:r>
        <w:rPr>
          <w:rFonts w:ascii="Arial" w:hAnsi="Arial" w:cs="Arial"/>
          <w:i/>
          <w:sz w:val="22"/>
          <w:szCs w:val="22"/>
        </w:rPr>
        <w:t>Centro de información y documentación en educación, niñez, adolescencia y familia</w:t>
      </w:r>
      <w:r>
        <w:rPr>
          <w:rFonts w:ascii="Arial" w:hAnsi="Arial" w:cs="Arial"/>
          <w:sz w:val="22"/>
          <w:szCs w:val="22"/>
        </w:rPr>
        <w:t xml:space="preserve"> (Cidenaf): capacitaciones a usuarios en el manejo de los recursos de información, en el OPAC (</w:t>
      </w:r>
      <w:r>
        <w:rPr>
          <w:rFonts w:ascii="Arial" w:hAnsi="Arial" w:cs="Arial"/>
          <w:i/>
          <w:sz w:val="22"/>
          <w:szCs w:val="22"/>
        </w:rPr>
        <w:t>LibraryWorld Online Patron Access</w:t>
      </w:r>
      <w:r>
        <w:t>)</w:t>
      </w:r>
      <w:r>
        <w:rPr>
          <w:rFonts w:ascii="Arial" w:hAnsi="Arial" w:cs="Arial"/>
          <w:sz w:val="22"/>
          <w:szCs w:val="22"/>
        </w:rPr>
        <w:t xml:space="preserve">, bases de datos y libros electrónicos disponibles en el Cidec, boletines, préstamo de computadores, etcétera (100%).         </w:t>
      </w:r>
    </w:p>
    <w:p w:rsidR="00F87902" w:rsidRDefault="00F87902">
      <w:pPr>
        <w:jc w:val="both"/>
        <w:rPr>
          <w:rFonts w:ascii="Arial" w:hAnsi="Arial" w:cs="Arial"/>
          <w:b/>
          <w:i/>
          <w:color w:val="E36C0A" w:themeColor="accent6" w:themeShade="BF"/>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lastRenderedPageBreak/>
        <w:t xml:space="preserve">100% de logro </w:t>
      </w:r>
      <w:r>
        <w:rPr>
          <w:rFonts w:ascii="Arial" w:hAnsi="Arial" w:cs="Arial"/>
          <w:sz w:val="22"/>
          <w:szCs w:val="22"/>
        </w:rPr>
        <w:t>en la administración de los 4 procesos sustantivos de la Unidad de biblioteca de la sede regional Brunca: presupuesto, requisición, compra y clasificación de materiales.</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209 piezas de material bibliográfico</w:t>
      </w:r>
      <w:r>
        <w:rPr>
          <w:rFonts w:ascii="Arial" w:hAnsi="Arial" w:cs="Arial"/>
          <w:sz w:val="22"/>
          <w:szCs w:val="22"/>
        </w:rPr>
        <w:t xml:space="preserve"> adquiridas en los campos de las relaciones internacionales y el comercio y los negocios internacionales, para la atención de las personas académicas, estudiantes y público en general (más del 100% estimado); </w:t>
      </w:r>
      <w:r>
        <w:rPr>
          <w:rFonts w:ascii="Arial" w:hAnsi="Arial" w:cs="Arial"/>
          <w:b/>
          <w:sz w:val="22"/>
          <w:szCs w:val="22"/>
        </w:rPr>
        <w:t>1  suscripción de las Naciones Unidas</w:t>
      </w:r>
      <w:r>
        <w:rPr>
          <w:rFonts w:ascii="Arial" w:hAnsi="Arial" w:cs="Arial"/>
          <w:sz w:val="22"/>
          <w:szCs w:val="22"/>
        </w:rPr>
        <w:t xml:space="preserve"> que se mantiene para la atención del personal académico, los estudiantes y el público en general (100%); en el ámbito de  la Escuela de Relaciones Internacionales.       </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6 cursos impartidos </w:t>
      </w:r>
      <w:r>
        <w:rPr>
          <w:rFonts w:ascii="Arial" w:hAnsi="Arial" w:cs="Arial"/>
          <w:sz w:val="22"/>
          <w:szCs w:val="22"/>
        </w:rPr>
        <w:t xml:space="preserve">sobre el uso de tecnologías y recursos existentes en la biblioteca en la sede regional Chorotega (100%).     </w:t>
      </w:r>
    </w:p>
    <w:p w:rsidR="00F87902" w:rsidRDefault="00F87902">
      <w:pPr>
        <w:spacing w:line="360" w:lineRule="auto"/>
        <w:ind w:left="708"/>
        <w:jc w:val="both"/>
        <w:rPr>
          <w:rFonts w:ascii="Arial" w:hAnsi="Arial" w:cs="Arial"/>
          <w:b/>
        </w:rPr>
      </w:pPr>
    </w:p>
    <w:p w:rsidR="006D52EA" w:rsidRDefault="006D52EA">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2.2 Atender 8 servicios ejecutados por el Departamento de Registro para brindar un servicio oportuno y de calidad a la población estudiantil.</w:t>
      </w:r>
    </w:p>
    <w:p w:rsidR="00F87902" w:rsidRDefault="00F87902">
      <w:pPr>
        <w:ind w:left="708"/>
        <w:jc w:val="both"/>
        <w:rPr>
          <w:rFonts w:ascii="Arial" w:hAnsi="Arial" w:cs="Arial"/>
          <w:b/>
        </w:rPr>
      </w:pPr>
    </w:p>
    <w:p w:rsidR="00F87902" w:rsidRDefault="00A519F9">
      <w:pPr>
        <w:ind w:left="708"/>
        <w:jc w:val="both"/>
        <w:rPr>
          <w:rFonts w:ascii="Arial" w:hAnsi="Arial" w:cs="Arial"/>
          <w:sz w:val="22"/>
          <w:szCs w:val="22"/>
        </w:rPr>
      </w:pPr>
      <w:r>
        <w:rPr>
          <w:rFonts w:ascii="Arial" w:hAnsi="Arial" w:cs="Arial"/>
          <w:sz w:val="22"/>
          <w:szCs w:val="22"/>
        </w:rPr>
        <w:t>De la atención de servicios durante el periodo de enero a diciembre (8) se deriva un cumplimiento de esta meta (</w:t>
      </w:r>
      <w:r>
        <w:rPr>
          <w:rFonts w:ascii="Arial" w:hAnsi="Arial" w:cs="Arial"/>
          <w:b/>
          <w:sz w:val="22"/>
          <w:szCs w:val="22"/>
        </w:rPr>
        <w:t>100%</w:t>
      </w:r>
      <w:r>
        <w:rPr>
          <w:rFonts w:ascii="Arial" w:hAnsi="Arial" w:cs="Arial"/>
          <w:sz w:val="22"/>
          <w:szCs w:val="22"/>
        </w:rPr>
        <w:t xml:space="preserve">) según se detalla:         </w:t>
      </w:r>
    </w:p>
    <w:p w:rsidR="00F87902" w:rsidRDefault="00F87902">
      <w:pPr>
        <w:ind w:left="708"/>
        <w:jc w:val="both"/>
        <w:rPr>
          <w:rFonts w:ascii="Arial" w:hAnsi="Arial" w:cs="Arial"/>
          <w:b/>
          <w:i/>
          <w:color w:val="E36C0A" w:themeColor="accent6" w:themeShade="BF"/>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Inscripción: </w:t>
      </w:r>
      <w:r>
        <w:rPr>
          <w:rFonts w:ascii="Arial" w:hAnsi="Arial" w:cs="Arial"/>
          <w:sz w:val="22"/>
          <w:szCs w:val="22"/>
        </w:rPr>
        <w:t>28.702 estudiantes inscritos en la UNA (27.002 nuevos y 1.700 regulares), y 4.029 identificaciones de estudiantes entregadas.</w:t>
      </w: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Admisión nuevos de grado: </w:t>
      </w:r>
      <w:r>
        <w:rPr>
          <w:rFonts w:ascii="Arial" w:hAnsi="Arial" w:cs="Arial"/>
          <w:sz w:val="22"/>
          <w:szCs w:val="22"/>
        </w:rPr>
        <w:t>3.994 estudiantes que contemplan 100 de interés institucional  que no aplican prueba de aptitud académica, cuales son 26 en Conservación y manejo de áreas protegidas, 43 en Educación Rural, y 31 indígenas (9 en sede Coto, 18 en Sarapiquí y 4 en Pérez Zeledón).</w:t>
      </w:r>
    </w:p>
    <w:p w:rsidR="00F87902" w:rsidRDefault="00A519F9">
      <w:pPr>
        <w:numPr>
          <w:ilvl w:val="0"/>
          <w:numId w:val="25"/>
        </w:numPr>
        <w:jc w:val="both"/>
        <w:rPr>
          <w:rFonts w:ascii="Arial" w:hAnsi="Arial" w:cs="Arial"/>
          <w:sz w:val="22"/>
          <w:szCs w:val="22"/>
        </w:rPr>
      </w:pPr>
      <w:r>
        <w:rPr>
          <w:rFonts w:ascii="Arial" w:hAnsi="Arial" w:cs="Arial"/>
          <w:b/>
          <w:sz w:val="22"/>
          <w:szCs w:val="22"/>
        </w:rPr>
        <w:t>Matrícula:</w:t>
      </w:r>
      <w:r>
        <w:rPr>
          <w:rFonts w:ascii="Arial" w:hAnsi="Arial" w:cs="Arial"/>
          <w:sz w:val="22"/>
          <w:szCs w:val="22"/>
        </w:rPr>
        <w:t xml:space="preserve"> 19.356 estudiantes (nuevos, regulares, posgrado, intercambio y extraordinarios).</w:t>
      </w:r>
    </w:p>
    <w:p w:rsidR="00F87902" w:rsidRDefault="00A519F9">
      <w:pPr>
        <w:numPr>
          <w:ilvl w:val="0"/>
          <w:numId w:val="25"/>
        </w:numPr>
        <w:jc w:val="both"/>
        <w:rPr>
          <w:rFonts w:ascii="Arial" w:hAnsi="Arial" w:cs="Arial"/>
          <w:sz w:val="22"/>
          <w:szCs w:val="22"/>
        </w:rPr>
      </w:pPr>
      <w:r>
        <w:rPr>
          <w:rFonts w:ascii="Arial" w:hAnsi="Arial" w:cs="Arial"/>
          <w:b/>
          <w:sz w:val="22"/>
          <w:szCs w:val="22"/>
        </w:rPr>
        <w:t>Historia Académica (actas):</w:t>
      </w:r>
      <w:r>
        <w:rPr>
          <w:rFonts w:ascii="Arial" w:hAnsi="Arial" w:cs="Arial"/>
          <w:sz w:val="22"/>
          <w:szCs w:val="22"/>
        </w:rPr>
        <w:t xml:space="preserve"> 159.764 actualizaciones y 6.842 certificaciones.</w:t>
      </w:r>
    </w:p>
    <w:p w:rsidR="00F87902" w:rsidRDefault="00A519F9">
      <w:pPr>
        <w:numPr>
          <w:ilvl w:val="0"/>
          <w:numId w:val="25"/>
        </w:numPr>
        <w:jc w:val="both"/>
        <w:rPr>
          <w:rFonts w:ascii="Arial" w:hAnsi="Arial" w:cs="Arial"/>
          <w:sz w:val="22"/>
          <w:szCs w:val="22"/>
        </w:rPr>
      </w:pPr>
      <w:r>
        <w:rPr>
          <w:rFonts w:ascii="Arial" w:hAnsi="Arial" w:cs="Arial"/>
          <w:b/>
          <w:sz w:val="22"/>
          <w:szCs w:val="22"/>
        </w:rPr>
        <w:t>Graduación:</w:t>
      </w:r>
      <w:r>
        <w:rPr>
          <w:rFonts w:ascii="Arial" w:hAnsi="Arial" w:cs="Arial"/>
          <w:sz w:val="22"/>
          <w:szCs w:val="22"/>
        </w:rPr>
        <w:t xml:space="preserve"> 3.310 estudiantes.  </w:t>
      </w:r>
    </w:p>
    <w:p w:rsidR="00F87902" w:rsidRDefault="00A519F9">
      <w:pPr>
        <w:numPr>
          <w:ilvl w:val="0"/>
          <w:numId w:val="25"/>
        </w:numPr>
        <w:jc w:val="both"/>
        <w:rPr>
          <w:rFonts w:ascii="Arial" w:hAnsi="Arial" w:cs="Arial"/>
          <w:sz w:val="22"/>
          <w:szCs w:val="22"/>
        </w:rPr>
      </w:pPr>
      <w:r>
        <w:rPr>
          <w:rFonts w:ascii="Arial" w:hAnsi="Arial" w:cs="Arial"/>
          <w:b/>
          <w:sz w:val="22"/>
          <w:szCs w:val="22"/>
        </w:rPr>
        <w:t>Empadronamiento:</w:t>
      </w:r>
      <w:r>
        <w:rPr>
          <w:rFonts w:ascii="Arial" w:hAnsi="Arial" w:cs="Arial"/>
          <w:sz w:val="22"/>
          <w:szCs w:val="22"/>
        </w:rPr>
        <w:t xml:space="preserve"> 1.823 que contemplan nuevo ingreso, estudiantes regulares por cambio de carrera o segunda opción de carrera, tronco común, reingreso, equivalencia, o traslado de sede.</w:t>
      </w: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Reconocimiento de grados y títulos: </w:t>
      </w:r>
      <w:r>
        <w:rPr>
          <w:rFonts w:ascii="Arial" w:hAnsi="Arial" w:cs="Arial"/>
          <w:sz w:val="22"/>
          <w:szCs w:val="22"/>
        </w:rPr>
        <w:t>87 casos.</w:t>
      </w:r>
    </w:p>
    <w:p w:rsidR="00F87902" w:rsidRDefault="00A519F9">
      <w:pPr>
        <w:numPr>
          <w:ilvl w:val="0"/>
          <w:numId w:val="25"/>
        </w:numPr>
        <w:jc w:val="both"/>
        <w:rPr>
          <w:rFonts w:ascii="Arial" w:hAnsi="Arial" w:cs="Arial"/>
          <w:sz w:val="22"/>
          <w:szCs w:val="22"/>
        </w:rPr>
      </w:pPr>
      <w:r>
        <w:rPr>
          <w:rFonts w:ascii="Arial" w:hAnsi="Arial" w:cs="Arial"/>
          <w:b/>
          <w:sz w:val="22"/>
          <w:szCs w:val="22"/>
        </w:rPr>
        <w:t>Equiparación:</w:t>
      </w:r>
      <w:r>
        <w:rPr>
          <w:rFonts w:ascii="Arial" w:hAnsi="Arial" w:cs="Arial"/>
          <w:sz w:val="22"/>
          <w:szCs w:val="22"/>
        </w:rPr>
        <w:t xml:space="preserve"> 271 expedientes resueltos.</w:t>
      </w:r>
    </w:p>
    <w:p w:rsidR="00F87902" w:rsidRDefault="00F87902">
      <w:pPr>
        <w:jc w:val="both"/>
        <w:rPr>
          <w:rFonts w:ascii="Arial" w:hAnsi="Arial" w:cs="Arial"/>
          <w:sz w:val="22"/>
          <w:szCs w:val="22"/>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F87902" w:rsidRDefault="00A519F9">
      <w:pPr>
        <w:jc w:val="center"/>
        <w:rPr>
          <w:rFonts w:ascii="Arial" w:hAnsi="Arial" w:cs="Arial"/>
        </w:rPr>
      </w:pPr>
      <w:r>
        <w:rPr>
          <w:rFonts w:ascii="Arial" w:hAnsi="Arial" w:cs="Arial"/>
          <w:b/>
        </w:rPr>
        <w:lastRenderedPageBreak/>
        <w:t>CUADRO N° 11</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rPr>
      </w:pPr>
    </w:p>
    <w:tbl>
      <w:tblPr>
        <w:tblW w:w="8720" w:type="dxa"/>
        <w:jc w:val="center"/>
        <w:tblBorders>
          <w:top w:val="single" w:sz="18" w:space="0" w:color="00000A"/>
        </w:tblBorders>
        <w:tblLook w:val="04A0"/>
      </w:tblPr>
      <w:tblGrid>
        <w:gridCol w:w="1400"/>
        <w:gridCol w:w="1450"/>
        <w:gridCol w:w="2403"/>
        <w:gridCol w:w="232"/>
        <w:gridCol w:w="1789"/>
        <w:gridCol w:w="1446"/>
      </w:tblGrid>
      <w:tr w:rsidR="00F87902">
        <w:trPr>
          <w:jc w:val="center"/>
        </w:trPr>
        <w:tc>
          <w:tcPr>
            <w:tcW w:w="1399"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53"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35"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99"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450"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03"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89"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4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99"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2.1</w:t>
            </w:r>
          </w:p>
        </w:tc>
        <w:tc>
          <w:tcPr>
            <w:tcW w:w="1450" w:type="dxa"/>
            <w:tcBorders>
              <w:top w:val="single" w:sz="12" w:space="0" w:color="00000A"/>
            </w:tcBorders>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2.449,3</w:t>
            </w:r>
          </w:p>
        </w:tc>
        <w:tc>
          <w:tcPr>
            <w:tcW w:w="2403" w:type="dxa"/>
            <w:tcBorders>
              <w:top w:val="single" w:sz="12" w:space="0" w:color="00000A"/>
            </w:tcBorders>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2.722,5</w:t>
            </w:r>
          </w:p>
        </w:tc>
        <w:tc>
          <w:tcPr>
            <w:tcW w:w="232"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89" w:type="dxa"/>
            <w:tcBorders>
              <w:top w:val="single" w:sz="12" w:space="0" w:color="00000A"/>
            </w:tcBorders>
            <w:shd w:val="clear" w:color="auto" w:fill="auto"/>
            <w:vAlign w:val="bottom"/>
          </w:tcPr>
          <w:p w:rsidR="00F87902" w:rsidRDefault="00A519F9">
            <w:pPr>
              <w:ind w:left="283" w:right="510"/>
              <w:jc w:val="right"/>
              <w:rPr>
                <w:rFonts w:ascii="Arial" w:hAnsi="Arial" w:cs="Arial"/>
                <w:sz w:val="20"/>
                <w:szCs w:val="20"/>
              </w:rPr>
            </w:pPr>
            <w:r>
              <w:rPr>
                <w:rFonts w:ascii="Arial" w:hAnsi="Arial" w:cs="Arial"/>
                <w:sz w:val="20"/>
                <w:szCs w:val="20"/>
              </w:rPr>
              <w:t>2.221,9</w:t>
            </w:r>
          </w:p>
        </w:tc>
        <w:tc>
          <w:tcPr>
            <w:tcW w:w="1446"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81,6%</w:t>
            </w:r>
          </w:p>
        </w:tc>
      </w:tr>
      <w:tr w:rsidR="00F87902">
        <w:trPr>
          <w:jc w:val="center"/>
        </w:trPr>
        <w:tc>
          <w:tcPr>
            <w:tcW w:w="1399" w:type="dxa"/>
            <w:shd w:val="clear" w:color="auto" w:fill="auto"/>
          </w:tcPr>
          <w:p w:rsidR="00F87902" w:rsidRDefault="00A519F9">
            <w:pPr>
              <w:jc w:val="center"/>
              <w:rPr>
                <w:rFonts w:ascii="Arial" w:hAnsi="Arial" w:cs="Arial"/>
                <w:b/>
                <w:sz w:val="20"/>
                <w:szCs w:val="20"/>
              </w:rPr>
            </w:pPr>
            <w:r>
              <w:rPr>
                <w:rFonts w:ascii="Arial" w:hAnsi="Arial" w:cs="Arial"/>
                <w:b/>
                <w:sz w:val="20"/>
                <w:szCs w:val="20"/>
              </w:rPr>
              <w:t>2.2</w:t>
            </w:r>
          </w:p>
        </w:tc>
        <w:tc>
          <w:tcPr>
            <w:tcW w:w="145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773,5</w:t>
            </w:r>
          </w:p>
        </w:tc>
        <w:tc>
          <w:tcPr>
            <w:tcW w:w="2403" w:type="dxa"/>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798,8</w:t>
            </w:r>
          </w:p>
        </w:tc>
        <w:tc>
          <w:tcPr>
            <w:tcW w:w="232" w:type="dxa"/>
            <w:shd w:val="clear" w:color="auto" w:fill="auto"/>
          </w:tcPr>
          <w:p w:rsidR="00F87902" w:rsidRDefault="00F87902">
            <w:pPr>
              <w:ind w:left="283" w:right="340"/>
              <w:jc w:val="center"/>
              <w:rPr>
                <w:rFonts w:ascii="Arial" w:hAnsi="Arial" w:cs="Arial"/>
                <w:color w:val="0070C0"/>
                <w:sz w:val="20"/>
                <w:szCs w:val="20"/>
              </w:rPr>
            </w:pPr>
          </w:p>
        </w:tc>
        <w:tc>
          <w:tcPr>
            <w:tcW w:w="1789" w:type="dxa"/>
            <w:shd w:val="clear" w:color="auto" w:fill="auto"/>
            <w:vAlign w:val="bottom"/>
          </w:tcPr>
          <w:p w:rsidR="00F87902" w:rsidRDefault="00A519F9">
            <w:pPr>
              <w:ind w:left="283" w:right="510"/>
              <w:jc w:val="right"/>
              <w:rPr>
                <w:rFonts w:ascii="Arial" w:hAnsi="Arial" w:cs="Arial"/>
                <w:sz w:val="20"/>
                <w:szCs w:val="20"/>
              </w:rPr>
            </w:pPr>
            <w:r>
              <w:rPr>
                <w:rFonts w:ascii="Arial" w:hAnsi="Arial" w:cs="Arial"/>
                <w:sz w:val="20"/>
                <w:szCs w:val="20"/>
              </w:rPr>
              <w:t>711,9</w:t>
            </w:r>
          </w:p>
        </w:tc>
        <w:tc>
          <w:tcPr>
            <w:tcW w:w="1446"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89,1%</w:t>
            </w:r>
          </w:p>
        </w:tc>
      </w:tr>
      <w:tr w:rsidR="00F87902">
        <w:trPr>
          <w:jc w:val="center"/>
        </w:trPr>
        <w:tc>
          <w:tcPr>
            <w:tcW w:w="1399" w:type="dxa"/>
            <w:shd w:val="clear" w:color="auto" w:fill="auto"/>
          </w:tcPr>
          <w:p w:rsidR="00F87902" w:rsidRDefault="00F87902">
            <w:pPr>
              <w:jc w:val="center"/>
              <w:rPr>
                <w:rFonts w:ascii="Arial" w:hAnsi="Arial" w:cs="Arial"/>
                <w:b/>
                <w:sz w:val="20"/>
                <w:szCs w:val="20"/>
              </w:rPr>
            </w:pPr>
          </w:p>
        </w:tc>
        <w:tc>
          <w:tcPr>
            <w:tcW w:w="1450" w:type="dxa"/>
            <w:shd w:val="clear" w:color="auto" w:fill="auto"/>
            <w:vAlign w:val="bottom"/>
          </w:tcPr>
          <w:p w:rsidR="00F87902" w:rsidRDefault="00F87902">
            <w:pPr>
              <w:ind w:left="283" w:right="283"/>
              <w:jc w:val="right"/>
              <w:rPr>
                <w:rFonts w:ascii="Arial" w:hAnsi="Arial" w:cs="Arial"/>
                <w:sz w:val="20"/>
                <w:szCs w:val="20"/>
              </w:rPr>
            </w:pPr>
          </w:p>
        </w:tc>
        <w:tc>
          <w:tcPr>
            <w:tcW w:w="2403" w:type="dxa"/>
            <w:shd w:val="clear" w:color="auto" w:fill="auto"/>
            <w:vAlign w:val="bottom"/>
          </w:tcPr>
          <w:p w:rsidR="00F87902" w:rsidRDefault="00F87902">
            <w:pPr>
              <w:ind w:left="283" w:right="907"/>
              <w:jc w:val="right"/>
              <w:rPr>
                <w:rFonts w:ascii="Arial" w:hAnsi="Arial" w:cs="Arial"/>
                <w:sz w:val="20"/>
                <w:szCs w:val="20"/>
              </w:rPr>
            </w:pPr>
          </w:p>
        </w:tc>
        <w:tc>
          <w:tcPr>
            <w:tcW w:w="232" w:type="dxa"/>
            <w:shd w:val="clear" w:color="auto" w:fill="auto"/>
          </w:tcPr>
          <w:p w:rsidR="00F87902" w:rsidRDefault="00F87902">
            <w:pPr>
              <w:ind w:left="283" w:right="340"/>
              <w:jc w:val="center"/>
              <w:rPr>
                <w:rFonts w:ascii="Arial" w:hAnsi="Arial" w:cs="Arial"/>
                <w:color w:val="0070C0"/>
                <w:sz w:val="20"/>
                <w:szCs w:val="20"/>
              </w:rPr>
            </w:pPr>
          </w:p>
        </w:tc>
        <w:tc>
          <w:tcPr>
            <w:tcW w:w="1789" w:type="dxa"/>
            <w:shd w:val="clear" w:color="auto" w:fill="auto"/>
            <w:vAlign w:val="bottom"/>
          </w:tcPr>
          <w:p w:rsidR="00F87902" w:rsidRDefault="00F87902">
            <w:pPr>
              <w:ind w:left="283" w:right="510"/>
              <w:jc w:val="right"/>
              <w:rPr>
                <w:rFonts w:ascii="Arial" w:hAnsi="Arial" w:cs="Arial"/>
                <w:sz w:val="20"/>
                <w:szCs w:val="20"/>
              </w:rPr>
            </w:pPr>
          </w:p>
        </w:tc>
        <w:tc>
          <w:tcPr>
            <w:tcW w:w="1446" w:type="dxa"/>
            <w:shd w:val="clear" w:color="auto" w:fill="auto"/>
            <w:vAlign w:val="bottom"/>
          </w:tcPr>
          <w:p w:rsidR="00F87902" w:rsidRDefault="00F87902">
            <w:pPr>
              <w:ind w:left="283" w:right="340"/>
              <w:jc w:val="right"/>
              <w:rPr>
                <w:rFonts w:ascii="Arial" w:hAnsi="Arial" w:cs="Arial"/>
                <w:sz w:val="20"/>
                <w:szCs w:val="20"/>
              </w:rPr>
            </w:pPr>
          </w:p>
        </w:tc>
      </w:tr>
      <w:tr w:rsidR="00F87902">
        <w:trPr>
          <w:trHeight w:val="156"/>
          <w:jc w:val="center"/>
        </w:trPr>
        <w:tc>
          <w:tcPr>
            <w:tcW w:w="1399" w:type="dxa"/>
            <w:shd w:val="clear" w:color="auto" w:fill="auto"/>
          </w:tcPr>
          <w:p w:rsidR="00F87902" w:rsidRDefault="00F87902">
            <w:pPr>
              <w:jc w:val="center"/>
              <w:rPr>
                <w:rFonts w:ascii="Arial" w:hAnsi="Arial" w:cs="Arial"/>
                <w:b/>
                <w:sz w:val="20"/>
                <w:szCs w:val="20"/>
              </w:rPr>
            </w:pPr>
          </w:p>
        </w:tc>
        <w:tc>
          <w:tcPr>
            <w:tcW w:w="1450" w:type="dxa"/>
            <w:shd w:val="clear" w:color="auto" w:fill="auto"/>
            <w:vAlign w:val="bottom"/>
          </w:tcPr>
          <w:p w:rsidR="00F87902" w:rsidRDefault="00F87902">
            <w:pPr>
              <w:ind w:left="283" w:right="283"/>
              <w:jc w:val="right"/>
              <w:rPr>
                <w:rFonts w:ascii="Arial" w:hAnsi="Arial" w:cs="Arial"/>
                <w:sz w:val="20"/>
                <w:szCs w:val="20"/>
              </w:rPr>
            </w:pPr>
          </w:p>
        </w:tc>
        <w:tc>
          <w:tcPr>
            <w:tcW w:w="2403" w:type="dxa"/>
            <w:shd w:val="clear" w:color="auto" w:fill="auto"/>
            <w:vAlign w:val="bottom"/>
          </w:tcPr>
          <w:p w:rsidR="00F87902" w:rsidRDefault="00F87902">
            <w:pPr>
              <w:ind w:left="283" w:right="907"/>
              <w:jc w:val="right"/>
              <w:rPr>
                <w:rFonts w:ascii="Arial" w:hAnsi="Arial" w:cs="Arial"/>
                <w:sz w:val="20"/>
                <w:szCs w:val="20"/>
              </w:rPr>
            </w:pPr>
          </w:p>
        </w:tc>
        <w:tc>
          <w:tcPr>
            <w:tcW w:w="232" w:type="dxa"/>
            <w:shd w:val="clear" w:color="auto" w:fill="auto"/>
          </w:tcPr>
          <w:p w:rsidR="00F87902" w:rsidRDefault="00F87902">
            <w:pPr>
              <w:ind w:left="283" w:right="340"/>
              <w:jc w:val="center"/>
              <w:rPr>
                <w:rFonts w:ascii="Arial" w:hAnsi="Arial" w:cs="Arial"/>
                <w:color w:val="0070C0"/>
                <w:sz w:val="20"/>
                <w:szCs w:val="20"/>
              </w:rPr>
            </w:pPr>
          </w:p>
        </w:tc>
        <w:tc>
          <w:tcPr>
            <w:tcW w:w="1789" w:type="dxa"/>
            <w:shd w:val="clear" w:color="auto" w:fill="auto"/>
            <w:vAlign w:val="bottom"/>
          </w:tcPr>
          <w:p w:rsidR="00F87902" w:rsidRDefault="00F87902">
            <w:pPr>
              <w:ind w:left="283" w:right="510"/>
              <w:jc w:val="right"/>
              <w:rPr>
                <w:rFonts w:ascii="Arial" w:hAnsi="Arial" w:cs="Arial"/>
                <w:sz w:val="20"/>
                <w:szCs w:val="20"/>
              </w:rPr>
            </w:pPr>
          </w:p>
        </w:tc>
        <w:tc>
          <w:tcPr>
            <w:tcW w:w="1446" w:type="dxa"/>
            <w:shd w:val="clear" w:color="auto" w:fill="auto"/>
            <w:vAlign w:val="bottom"/>
          </w:tcPr>
          <w:p w:rsidR="00F87902" w:rsidRDefault="00F87902">
            <w:pPr>
              <w:ind w:left="283" w:right="340"/>
              <w:jc w:val="right"/>
              <w:rPr>
                <w:rFonts w:ascii="Arial" w:hAnsi="Arial" w:cs="Arial"/>
                <w:sz w:val="20"/>
                <w:szCs w:val="20"/>
              </w:rPr>
            </w:pPr>
          </w:p>
        </w:tc>
      </w:tr>
      <w:tr w:rsidR="00F87902">
        <w:trPr>
          <w:jc w:val="center"/>
        </w:trPr>
        <w:tc>
          <w:tcPr>
            <w:tcW w:w="1399"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2</w:t>
            </w:r>
          </w:p>
        </w:tc>
        <w:tc>
          <w:tcPr>
            <w:tcW w:w="1450" w:type="dxa"/>
            <w:tcBorders>
              <w:top w:val="single" w:sz="18" w:space="0" w:color="00000A"/>
              <w:bottom w:val="single" w:sz="18" w:space="0" w:color="00000A"/>
            </w:tcBorders>
            <w:shd w:val="clear" w:color="auto" w:fill="auto"/>
          </w:tcPr>
          <w:p w:rsidR="00F87902" w:rsidRDefault="00A519F9">
            <w:pPr>
              <w:ind w:left="283" w:right="283"/>
              <w:jc w:val="right"/>
              <w:rPr>
                <w:rFonts w:ascii="Arial" w:hAnsi="Arial" w:cs="Arial"/>
                <w:b/>
                <w:sz w:val="20"/>
                <w:szCs w:val="20"/>
              </w:rPr>
            </w:pPr>
            <w:r>
              <w:rPr>
                <w:rFonts w:ascii="Arial" w:hAnsi="Arial" w:cs="Arial"/>
                <w:b/>
                <w:sz w:val="20"/>
                <w:szCs w:val="20"/>
              </w:rPr>
              <w:t>3.222,8</w:t>
            </w:r>
          </w:p>
        </w:tc>
        <w:tc>
          <w:tcPr>
            <w:tcW w:w="2403"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3.521,3</w:t>
            </w:r>
          </w:p>
        </w:tc>
        <w:tc>
          <w:tcPr>
            <w:tcW w:w="232" w:type="dxa"/>
            <w:tcBorders>
              <w:top w:val="single" w:sz="18" w:space="0" w:color="00000A"/>
              <w:bottom w:val="single" w:sz="18" w:space="0" w:color="00000A"/>
            </w:tcBorders>
            <w:shd w:val="clear" w:color="auto" w:fill="auto"/>
          </w:tcPr>
          <w:p w:rsidR="00F87902" w:rsidRDefault="00F87902">
            <w:pPr>
              <w:ind w:left="283" w:right="340"/>
              <w:jc w:val="right"/>
              <w:rPr>
                <w:rFonts w:ascii="Arial" w:hAnsi="Arial" w:cs="Arial"/>
                <w:b/>
                <w:color w:val="0070C0"/>
                <w:sz w:val="20"/>
                <w:szCs w:val="20"/>
              </w:rPr>
            </w:pPr>
          </w:p>
        </w:tc>
        <w:tc>
          <w:tcPr>
            <w:tcW w:w="1789" w:type="dxa"/>
            <w:tcBorders>
              <w:top w:val="single" w:sz="18" w:space="0" w:color="00000A"/>
              <w:bottom w:val="single" w:sz="18" w:space="0" w:color="00000A"/>
            </w:tcBorders>
            <w:shd w:val="clear" w:color="auto" w:fill="auto"/>
          </w:tcPr>
          <w:p w:rsidR="00F87902" w:rsidRDefault="00A519F9">
            <w:pPr>
              <w:ind w:left="283" w:right="510"/>
              <w:jc w:val="right"/>
              <w:rPr>
                <w:rFonts w:ascii="Arial" w:hAnsi="Arial" w:cs="Arial"/>
                <w:b/>
                <w:sz w:val="20"/>
                <w:szCs w:val="20"/>
              </w:rPr>
            </w:pPr>
            <w:r>
              <w:rPr>
                <w:rFonts w:ascii="Arial" w:hAnsi="Arial" w:cs="Arial"/>
                <w:b/>
                <w:sz w:val="20"/>
                <w:szCs w:val="20"/>
              </w:rPr>
              <w:t>2.933,8</w:t>
            </w:r>
          </w:p>
        </w:tc>
        <w:tc>
          <w:tcPr>
            <w:tcW w:w="1446"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83,3%</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spacing w:line="360" w:lineRule="auto"/>
        <w:jc w:val="both"/>
        <w:rPr>
          <w:rFonts w:ascii="Arial" w:hAnsi="Arial" w:cs="Arial"/>
          <w:b/>
          <w:i/>
          <w:sz w:val="18"/>
          <w:szCs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i/>
        </w:rPr>
      </w:pPr>
      <w:r>
        <w:rPr>
          <w:rFonts w:ascii="Arial" w:hAnsi="Arial" w:cs="Arial"/>
          <w:b/>
        </w:rPr>
        <w:t xml:space="preserve">Objetivo 3. Desarrollar servicios integrales que promuevan la mejora en las condiciones de vida de la comunidad universitaria.    </w:t>
      </w:r>
    </w:p>
    <w:p w:rsidR="00F87902" w:rsidRDefault="00F87902">
      <w:pPr>
        <w:spacing w:line="360" w:lineRule="auto"/>
        <w:jc w:val="both"/>
        <w:rPr>
          <w:rFonts w:ascii="Arial" w:hAnsi="Arial" w:cs="Arial"/>
          <w:b/>
          <w:i/>
          <w:sz w:val="18"/>
          <w:szCs w:val="18"/>
        </w:rPr>
      </w:pPr>
    </w:p>
    <w:p w:rsidR="00F87902" w:rsidRDefault="00A519F9">
      <w:pPr>
        <w:spacing w:line="360" w:lineRule="auto"/>
        <w:ind w:left="708"/>
        <w:jc w:val="both"/>
        <w:rPr>
          <w:rFonts w:ascii="Arial" w:hAnsi="Arial" w:cs="Arial"/>
          <w:b/>
        </w:rPr>
      </w:pPr>
      <w:r>
        <w:rPr>
          <w:rFonts w:ascii="Arial" w:hAnsi="Arial" w:cs="Arial"/>
          <w:b/>
        </w:rPr>
        <w:t xml:space="preserve">Meta 3.1 Brindar 20.900 atenciones en el servicio de salud (incluye 1.600 en medicina preventiva y 19.300 en medicina asistencial) a la comunidad universitaria que favorezcan una mejora en su calidad de vida.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de esta meta es del </w:t>
      </w:r>
      <w:r>
        <w:rPr>
          <w:rFonts w:ascii="Arial" w:hAnsi="Arial" w:cs="Arial"/>
          <w:b/>
          <w:sz w:val="22"/>
          <w:szCs w:val="22"/>
        </w:rPr>
        <w:t>100%</w:t>
      </w:r>
      <w:r>
        <w:rPr>
          <w:rFonts w:ascii="Arial" w:hAnsi="Arial" w:cs="Arial"/>
          <w:sz w:val="22"/>
          <w:szCs w:val="22"/>
        </w:rPr>
        <w:t xml:space="preserve"> (25.909 atenciones) durante el año 2015, el cual se sustenta con las actividades descritas seguidamente:</w:t>
      </w:r>
    </w:p>
    <w:p w:rsidR="00F87902" w:rsidRDefault="00F87902">
      <w:pPr>
        <w:ind w:left="708"/>
        <w:jc w:val="both"/>
        <w:rPr>
          <w:rFonts w:ascii="Arial" w:hAnsi="Arial" w:cs="Arial"/>
          <w:sz w:val="22"/>
          <w:szCs w:val="22"/>
        </w:rPr>
      </w:pPr>
    </w:p>
    <w:p w:rsidR="00F87902" w:rsidRDefault="00A519F9">
      <w:pPr>
        <w:numPr>
          <w:ilvl w:val="0"/>
          <w:numId w:val="3"/>
        </w:numPr>
        <w:jc w:val="both"/>
      </w:pPr>
      <w:r>
        <w:rPr>
          <w:rFonts w:ascii="Arial" w:hAnsi="Arial" w:cs="Arial"/>
          <w:b/>
          <w:sz w:val="22"/>
          <w:szCs w:val="22"/>
        </w:rPr>
        <w:t>7.687 usuarios</w:t>
      </w:r>
      <w:r>
        <w:rPr>
          <w:rFonts w:ascii="Arial" w:hAnsi="Arial" w:cs="Arial"/>
          <w:sz w:val="22"/>
          <w:szCs w:val="22"/>
        </w:rPr>
        <w:t xml:space="preserve"> atendidos en medicina asistencial (100%). </w:t>
      </w:r>
    </w:p>
    <w:p w:rsidR="00F87902" w:rsidRDefault="00F87902">
      <w:pPr>
        <w:ind w:left="1428"/>
        <w:jc w:val="both"/>
        <w:rPr>
          <w:rFonts w:ascii="Arial" w:hAnsi="Arial" w:cs="Arial"/>
          <w:sz w:val="22"/>
          <w:szCs w:val="22"/>
        </w:rPr>
      </w:pPr>
    </w:p>
    <w:p w:rsidR="00F87902" w:rsidRDefault="00A519F9">
      <w:pPr>
        <w:numPr>
          <w:ilvl w:val="0"/>
          <w:numId w:val="3"/>
        </w:numPr>
        <w:jc w:val="both"/>
        <w:rPr>
          <w:rFonts w:ascii="Arial" w:hAnsi="Arial" w:cs="Arial"/>
          <w:sz w:val="22"/>
          <w:szCs w:val="22"/>
        </w:rPr>
      </w:pPr>
      <w:r>
        <w:rPr>
          <w:rFonts w:ascii="Arial" w:hAnsi="Arial" w:cs="Arial"/>
          <w:b/>
          <w:sz w:val="22"/>
          <w:szCs w:val="22"/>
        </w:rPr>
        <w:t>100 sesiones</w:t>
      </w:r>
      <w:r>
        <w:rPr>
          <w:rFonts w:ascii="Arial" w:hAnsi="Arial" w:cs="Arial"/>
          <w:sz w:val="22"/>
          <w:szCs w:val="22"/>
        </w:rPr>
        <w:t xml:space="preserve"> de actividad física dirigidas a la comunidad universitaria (100%).</w:t>
      </w:r>
    </w:p>
    <w:p w:rsidR="00F87902" w:rsidRDefault="00F87902">
      <w:pPr>
        <w:jc w:val="both"/>
        <w:rPr>
          <w:rFonts w:ascii="Arial" w:hAnsi="Arial" w:cs="Arial"/>
          <w:b/>
          <w:i/>
          <w:color w:val="E36C0A" w:themeColor="accent6" w:themeShade="BF"/>
          <w:sz w:val="22"/>
          <w:szCs w:val="22"/>
        </w:rPr>
      </w:pPr>
    </w:p>
    <w:p w:rsidR="00F87902" w:rsidRDefault="00A519F9">
      <w:pPr>
        <w:numPr>
          <w:ilvl w:val="0"/>
          <w:numId w:val="3"/>
        </w:numPr>
        <w:jc w:val="both"/>
      </w:pPr>
      <w:r>
        <w:rPr>
          <w:rFonts w:ascii="Arial" w:hAnsi="Arial" w:cs="Arial"/>
          <w:b/>
          <w:sz w:val="22"/>
          <w:szCs w:val="22"/>
        </w:rPr>
        <w:t>1.175 personas atendidas</w:t>
      </w:r>
      <w:r>
        <w:rPr>
          <w:rFonts w:ascii="Arial" w:hAnsi="Arial" w:cs="Arial"/>
          <w:sz w:val="22"/>
          <w:szCs w:val="22"/>
        </w:rPr>
        <w:t xml:space="preserve"> en odontología asistencial: 36 funcionarios y 1.139 estudiantes (100% estimado). </w:t>
      </w:r>
    </w:p>
    <w:p w:rsidR="00F87902" w:rsidRDefault="00F87902">
      <w:pPr>
        <w:pStyle w:val="Prrafodelista"/>
        <w:rPr>
          <w:rFonts w:ascii="Arial" w:hAnsi="Arial" w:cs="Arial"/>
          <w:sz w:val="22"/>
          <w:szCs w:val="22"/>
        </w:rPr>
      </w:pPr>
    </w:p>
    <w:p w:rsidR="00F87902" w:rsidRDefault="00A519F9">
      <w:pPr>
        <w:numPr>
          <w:ilvl w:val="0"/>
          <w:numId w:val="3"/>
        </w:numPr>
        <w:jc w:val="both"/>
      </w:pPr>
      <w:r>
        <w:rPr>
          <w:rFonts w:ascii="Arial" w:hAnsi="Arial" w:cs="Arial"/>
          <w:b/>
          <w:sz w:val="22"/>
          <w:szCs w:val="22"/>
        </w:rPr>
        <w:t>430 usuarios</w:t>
      </w:r>
      <w:r>
        <w:rPr>
          <w:rFonts w:ascii="Arial" w:hAnsi="Arial" w:cs="Arial"/>
          <w:sz w:val="22"/>
          <w:szCs w:val="22"/>
        </w:rPr>
        <w:t xml:space="preserve"> atendidos en educación en salud bucodental, mediante 34 charlas (86%). </w:t>
      </w:r>
    </w:p>
    <w:p w:rsidR="00F87902" w:rsidRDefault="00F87902">
      <w:pPr>
        <w:pStyle w:val="Prrafodelista"/>
        <w:rPr>
          <w:rFonts w:ascii="Arial" w:hAnsi="Arial" w:cs="Arial"/>
          <w:sz w:val="22"/>
          <w:szCs w:val="22"/>
        </w:rPr>
      </w:pPr>
    </w:p>
    <w:p w:rsidR="00F87902" w:rsidRDefault="00A519F9">
      <w:pPr>
        <w:numPr>
          <w:ilvl w:val="0"/>
          <w:numId w:val="3"/>
        </w:numPr>
        <w:jc w:val="both"/>
      </w:pPr>
      <w:r>
        <w:rPr>
          <w:rFonts w:ascii="Arial" w:hAnsi="Arial" w:cs="Arial"/>
          <w:b/>
          <w:sz w:val="22"/>
          <w:szCs w:val="22"/>
        </w:rPr>
        <w:t>623 usuarios atendidos</w:t>
      </w:r>
      <w:r>
        <w:rPr>
          <w:rFonts w:ascii="Arial" w:hAnsi="Arial" w:cs="Arial"/>
          <w:sz w:val="22"/>
          <w:szCs w:val="22"/>
        </w:rPr>
        <w:t xml:space="preserve"> en prevención de la salud bucodental: 8 funcionarios y 615 estudiantes (100%). </w:t>
      </w:r>
    </w:p>
    <w:p w:rsidR="00F87902" w:rsidRDefault="00F87902">
      <w:pPr>
        <w:pStyle w:val="Prrafodelista"/>
        <w:rPr>
          <w:rFonts w:ascii="Arial" w:hAnsi="Arial" w:cs="Arial"/>
          <w:sz w:val="22"/>
          <w:szCs w:val="22"/>
        </w:rPr>
      </w:pPr>
    </w:p>
    <w:p w:rsidR="00F87902" w:rsidRDefault="00A519F9">
      <w:pPr>
        <w:numPr>
          <w:ilvl w:val="0"/>
          <w:numId w:val="3"/>
        </w:numPr>
        <w:jc w:val="both"/>
      </w:pPr>
      <w:r>
        <w:rPr>
          <w:rFonts w:ascii="Arial" w:hAnsi="Arial" w:cs="Arial"/>
          <w:b/>
          <w:sz w:val="22"/>
          <w:szCs w:val="22"/>
        </w:rPr>
        <w:t>14.573 procedimientos</w:t>
      </w:r>
      <w:r>
        <w:rPr>
          <w:rFonts w:ascii="Arial" w:hAnsi="Arial" w:cs="Arial"/>
          <w:sz w:val="22"/>
          <w:szCs w:val="22"/>
        </w:rPr>
        <w:t xml:space="preserve"> propios de enfermería (8.602 a funcionarios y 5.971 a estudiantes), 100%. </w:t>
      </w:r>
    </w:p>
    <w:p w:rsidR="00F87902" w:rsidRDefault="00F87902">
      <w:pPr>
        <w:pStyle w:val="Prrafodelista"/>
        <w:rPr>
          <w:rFonts w:ascii="Arial" w:hAnsi="Arial" w:cs="Arial"/>
          <w:sz w:val="22"/>
          <w:szCs w:val="22"/>
        </w:rPr>
      </w:pPr>
    </w:p>
    <w:p w:rsidR="00F87902" w:rsidRDefault="00A519F9">
      <w:pPr>
        <w:numPr>
          <w:ilvl w:val="0"/>
          <w:numId w:val="3"/>
        </w:numPr>
        <w:jc w:val="both"/>
      </w:pPr>
      <w:r>
        <w:rPr>
          <w:rFonts w:ascii="Arial" w:hAnsi="Arial" w:cs="Arial"/>
          <w:b/>
          <w:sz w:val="22"/>
          <w:szCs w:val="22"/>
        </w:rPr>
        <w:t>547 usuarios</w:t>
      </w:r>
      <w:r>
        <w:rPr>
          <w:rFonts w:ascii="Arial" w:hAnsi="Arial" w:cs="Arial"/>
          <w:sz w:val="22"/>
          <w:szCs w:val="22"/>
        </w:rPr>
        <w:t xml:space="preserve"> atendidos en la consulta nutricional (100%). </w:t>
      </w:r>
    </w:p>
    <w:p w:rsidR="00F87902" w:rsidRDefault="00F87902">
      <w:pPr>
        <w:jc w:val="both"/>
        <w:rPr>
          <w:rFonts w:ascii="Arial" w:hAnsi="Arial" w:cs="Arial"/>
          <w:sz w:val="22"/>
          <w:szCs w:val="22"/>
        </w:rPr>
      </w:pPr>
    </w:p>
    <w:p w:rsidR="00F87902" w:rsidRDefault="00A519F9">
      <w:pPr>
        <w:numPr>
          <w:ilvl w:val="0"/>
          <w:numId w:val="3"/>
        </w:numPr>
        <w:jc w:val="both"/>
      </w:pPr>
      <w:r>
        <w:rPr>
          <w:rFonts w:ascii="Arial" w:hAnsi="Arial" w:cs="Arial"/>
          <w:b/>
          <w:sz w:val="22"/>
          <w:szCs w:val="22"/>
        </w:rPr>
        <w:t>511 usuarios</w:t>
      </w:r>
      <w:r>
        <w:rPr>
          <w:rFonts w:ascii="Arial" w:hAnsi="Arial" w:cs="Arial"/>
          <w:sz w:val="22"/>
          <w:szCs w:val="22"/>
        </w:rPr>
        <w:t xml:space="preserve"> atendidos en educación y promoción de la salud física, de los cuales 272 son estudiantes y 239 funcionarios (100%). </w:t>
      </w:r>
    </w:p>
    <w:p w:rsidR="00F87902" w:rsidRDefault="00F87902">
      <w:pPr>
        <w:pStyle w:val="Prrafodelista"/>
        <w:rPr>
          <w:rFonts w:ascii="Arial" w:hAnsi="Arial" w:cs="Arial"/>
          <w:sz w:val="22"/>
          <w:szCs w:val="22"/>
        </w:rPr>
      </w:pPr>
    </w:p>
    <w:p w:rsidR="00F87902" w:rsidRDefault="00A519F9">
      <w:pPr>
        <w:numPr>
          <w:ilvl w:val="0"/>
          <w:numId w:val="3"/>
        </w:numPr>
        <w:jc w:val="both"/>
      </w:pPr>
      <w:r>
        <w:rPr>
          <w:rFonts w:ascii="Arial" w:hAnsi="Arial" w:cs="Arial"/>
          <w:b/>
          <w:sz w:val="22"/>
          <w:szCs w:val="22"/>
        </w:rPr>
        <w:t>263 usuarios</w:t>
      </w:r>
      <w:r>
        <w:rPr>
          <w:rFonts w:ascii="Arial" w:hAnsi="Arial" w:cs="Arial"/>
          <w:sz w:val="22"/>
          <w:szCs w:val="22"/>
        </w:rPr>
        <w:t xml:space="preserve"> atendidos por medio de las pólizas del INS (88%).  </w:t>
      </w:r>
    </w:p>
    <w:p w:rsidR="00F87902" w:rsidRDefault="00F87902">
      <w:pPr>
        <w:jc w:val="both"/>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spacing w:line="360" w:lineRule="auto"/>
        <w:ind w:left="708"/>
        <w:jc w:val="both"/>
        <w:rPr>
          <w:rFonts w:ascii="Arial" w:hAnsi="Arial" w:cs="Arial"/>
          <w:b/>
        </w:rPr>
      </w:pPr>
      <w:r>
        <w:rPr>
          <w:rFonts w:ascii="Arial" w:hAnsi="Arial" w:cs="Arial"/>
          <w:b/>
        </w:rPr>
        <w:t xml:space="preserve">Meta 3.2 Atender 6.680 actividades, solicitudes y resoluciones en materia de protección de los derechos de la comunidad universitaria.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color w:val="E36C0A" w:themeColor="accent6" w:themeShade="BF"/>
          <w:sz w:val="22"/>
          <w:szCs w:val="22"/>
        </w:rPr>
      </w:pPr>
      <w:r>
        <w:rPr>
          <w:rFonts w:ascii="Arial" w:hAnsi="Arial" w:cs="Arial"/>
          <w:sz w:val="22"/>
          <w:szCs w:val="22"/>
        </w:rPr>
        <w:t xml:space="preserve">La atención de actividades descritas (5.785) sugiere un cumplimiento del 86,6%, según resultados que se incluyen:    </w:t>
      </w:r>
    </w:p>
    <w:p w:rsidR="00F87902" w:rsidRDefault="00F87902">
      <w:pPr>
        <w:ind w:left="720"/>
        <w:jc w:val="both"/>
        <w:rPr>
          <w:rFonts w:ascii="Arial" w:hAnsi="Arial" w:cs="Arial"/>
          <w:b/>
          <w:i/>
          <w:sz w:val="22"/>
          <w:szCs w:val="22"/>
        </w:rPr>
      </w:pPr>
    </w:p>
    <w:p w:rsidR="00F87902" w:rsidRDefault="00F87902">
      <w:pPr>
        <w:ind w:left="708"/>
        <w:jc w:val="both"/>
        <w:rPr>
          <w:rFonts w:ascii="Arial" w:hAnsi="Arial" w:cs="Arial"/>
          <w:sz w:val="22"/>
          <w:szCs w:val="22"/>
        </w:rPr>
      </w:pPr>
    </w:p>
    <w:p w:rsidR="00F87902" w:rsidRDefault="00A519F9">
      <w:pPr>
        <w:spacing w:line="360" w:lineRule="auto"/>
        <w:ind w:left="708"/>
        <w:jc w:val="both"/>
      </w:pPr>
      <w:r>
        <w:rPr>
          <w:rFonts w:ascii="Arial" w:hAnsi="Arial" w:cs="Arial"/>
          <w:b/>
          <w:i/>
          <w:sz w:val="22"/>
          <w:szCs w:val="22"/>
        </w:rPr>
        <w:t xml:space="preserve">Comisión de Carrera Administrativa.     </w:t>
      </w:r>
    </w:p>
    <w:p w:rsidR="00F87902" w:rsidRDefault="00F87902">
      <w:pPr>
        <w:ind w:left="1068"/>
        <w:jc w:val="both"/>
        <w:rPr>
          <w:rFonts w:ascii="Arial" w:hAnsi="Arial" w:cs="Arial"/>
          <w:sz w:val="22"/>
          <w:szCs w:val="22"/>
        </w:rPr>
      </w:pPr>
    </w:p>
    <w:p w:rsidR="00F87902" w:rsidRDefault="00A519F9">
      <w:pPr>
        <w:numPr>
          <w:ilvl w:val="0"/>
          <w:numId w:val="5"/>
        </w:numPr>
        <w:ind w:left="1418"/>
        <w:jc w:val="both"/>
        <w:rPr>
          <w:rFonts w:ascii="Arial" w:hAnsi="Arial" w:cs="Arial"/>
          <w:sz w:val="22"/>
          <w:szCs w:val="22"/>
        </w:rPr>
      </w:pPr>
      <w:r>
        <w:rPr>
          <w:rFonts w:ascii="Arial" w:hAnsi="Arial" w:cs="Arial"/>
          <w:b/>
          <w:sz w:val="22"/>
          <w:szCs w:val="22"/>
        </w:rPr>
        <w:t xml:space="preserve">50 solicitudes </w:t>
      </w:r>
      <w:r>
        <w:rPr>
          <w:rFonts w:ascii="Arial" w:hAnsi="Arial" w:cs="Arial"/>
          <w:sz w:val="22"/>
          <w:szCs w:val="22"/>
        </w:rPr>
        <w:t xml:space="preserve">atendidas de reconocimiento del factor </w:t>
      </w:r>
      <w:r>
        <w:rPr>
          <w:rFonts w:ascii="Arial" w:hAnsi="Arial" w:cs="Arial"/>
          <w:i/>
          <w:sz w:val="22"/>
          <w:szCs w:val="22"/>
        </w:rPr>
        <w:t xml:space="preserve">Educación formal adicional al puesto, </w:t>
      </w:r>
      <w:r>
        <w:rPr>
          <w:rFonts w:ascii="Arial" w:hAnsi="Arial" w:cs="Arial"/>
          <w:sz w:val="22"/>
          <w:szCs w:val="22"/>
        </w:rPr>
        <w:t xml:space="preserve">de las 92 ingresadas (54%).   </w:t>
      </w:r>
    </w:p>
    <w:p w:rsidR="00F87902" w:rsidRDefault="00F87902">
      <w:pPr>
        <w:ind w:left="1418"/>
        <w:jc w:val="both"/>
        <w:rPr>
          <w:rFonts w:ascii="Arial" w:hAnsi="Arial" w:cs="Arial"/>
          <w:sz w:val="22"/>
          <w:szCs w:val="22"/>
        </w:rPr>
      </w:pPr>
    </w:p>
    <w:p w:rsidR="00F87902" w:rsidRDefault="00F87902">
      <w:pPr>
        <w:ind w:left="1418"/>
        <w:jc w:val="both"/>
        <w:rPr>
          <w:rFonts w:ascii="Arial" w:hAnsi="Arial" w:cs="Arial"/>
          <w:sz w:val="22"/>
          <w:szCs w:val="22"/>
        </w:rPr>
      </w:pPr>
    </w:p>
    <w:p w:rsidR="00F87902" w:rsidRDefault="00A519F9">
      <w:pPr>
        <w:spacing w:line="360" w:lineRule="auto"/>
        <w:ind w:left="708"/>
        <w:jc w:val="both"/>
      </w:pPr>
      <w:r>
        <w:rPr>
          <w:rFonts w:ascii="Arial" w:hAnsi="Arial" w:cs="Arial"/>
          <w:b/>
          <w:i/>
          <w:sz w:val="22"/>
          <w:szCs w:val="22"/>
        </w:rPr>
        <w:t xml:space="preserve">Comisión de Carrera Académica. </w:t>
      </w:r>
    </w:p>
    <w:p w:rsidR="00F87902" w:rsidRDefault="00F87902">
      <w:pPr>
        <w:spacing w:line="360" w:lineRule="auto"/>
        <w:ind w:left="708"/>
        <w:jc w:val="both"/>
        <w:rPr>
          <w:rFonts w:ascii="Arial" w:hAnsi="Arial" w:cs="Arial"/>
          <w:b/>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270 solicitudes</w:t>
      </w:r>
      <w:r>
        <w:rPr>
          <w:rFonts w:ascii="Arial" w:hAnsi="Arial" w:cs="Arial"/>
          <w:sz w:val="22"/>
          <w:szCs w:val="22"/>
        </w:rPr>
        <w:t xml:space="preserve"> atendidas de estudios de ingreso, ascenso, asignación salarial, reasignación salarial, artículo 68, presentados por las personas académicas propietarias e interinas de la UNA (más del 100% estimado).   </w:t>
      </w:r>
    </w:p>
    <w:p w:rsidR="00F87902" w:rsidRDefault="00F87902">
      <w:pPr>
        <w:ind w:left="1068"/>
        <w:jc w:val="both"/>
        <w:rPr>
          <w:rFonts w:ascii="Arial" w:hAnsi="Arial" w:cs="Arial"/>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 xml:space="preserve">39 solicitudes </w:t>
      </w:r>
      <w:r>
        <w:rPr>
          <w:rFonts w:ascii="Arial" w:hAnsi="Arial" w:cs="Arial"/>
          <w:sz w:val="22"/>
          <w:szCs w:val="22"/>
        </w:rPr>
        <w:t>de estudios atendidas, para la aplicación del artículo 71 del Reglamento de Carrera Académica (100%).</w:t>
      </w:r>
    </w:p>
    <w:p w:rsidR="00F87902" w:rsidRDefault="00F87902">
      <w:pPr>
        <w:pStyle w:val="Prrafodelista"/>
        <w:rPr>
          <w:rFonts w:ascii="Arial" w:hAnsi="Arial" w:cs="Arial"/>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61 solicitudes</w:t>
      </w:r>
      <w:r>
        <w:rPr>
          <w:rFonts w:ascii="Arial" w:hAnsi="Arial" w:cs="Arial"/>
          <w:sz w:val="22"/>
          <w:szCs w:val="22"/>
        </w:rPr>
        <w:t xml:space="preserve"> de estudios de dedicación exclusiva resueltas (100%).</w:t>
      </w:r>
    </w:p>
    <w:p w:rsidR="00F87902" w:rsidRDefault="00F87902">
      <w:pPr>
        <w:ind w:left="1068"/>
        <w:jc w:val="both"/>
        <w:rPr>
          <w:rFonts w:ascii="Arial" w:hAnsi="Arial" w:cs="Arial"/>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2 talleres</w:t>
      </w:r>
      <w:r>
        <w:rPr>
          <w:rFonts w:ascii="Arial" w:hAnsi="Arial" w:cs="Arial"/>
          <w:sz w:val="22"/>
          <w:szCs w:val="22"/>
        </w:rPr>
        <w:t xml:space="preserve"> para analizar la producción intelectual según artículo 42 del Reglamento de Carrera Académica (más del 100% estimado).</w:t>
      </w:r>
    </w:p>
    <w:p w:rsidR="00F87902" w:rsidRDefault="00F87902">
      <w:pPr>
        <w:ind w:left="1068"/>
        <w:jc w:val="both"/>
        <w:rPr>
          <w:rFonts w:ascii="Arial" w:hAnsi="Arial" w:cs="Arial"/>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1 informe de labores</w:t>
      </w:r>
      <w:r>
        <w:rPr>
          <w:rFonts w:ascii="Arial" w:hAnsi="Arial" w:cs="Arial"/>
          <w:sz w:val="22"/>
          <w:szCs w:val="22"/>
        </w:rPr>
        <w:t>,elaborado y enviado al Consejo Universitario (100%).</w:t>
      </w:r>
    </w:p>
    <w:p w:rsidR="00F87902" w:rsidRDefault="00F87902">
      <w:pPr>
        <w:pStyle w:val="Prrafodelista"/>
        <w:rPr>
          <w:rFonts w:ascii="Arial" w:hAnsi="Arial" w:cs="Arial"/>
          <w:color w:val="0070C0"/>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75% de logro</w:t>
      </w:r>
      <w:r>
        <w:rPr>
          <w:rFonts w:ascii="Arial" w:hAnsi="Arial" w:cs="Arial"/>
          <w:sz w:val="22"/>
          <w:szCs w:val="22"/>
        </w:rPr>
        <w:t xml:space="preserve"> en la atención de 3 solicitudes presentadas por personas académicas propietarias e interinas catedráticas para otorgar el beneficio de licencia remunerada.     2,25</w:t>
      </w:r>
    </w:p>
    <w:p w:rsidR="00F87902" w:rsidRDefault="00F87902">
      <w:pPr>
        <w:pStyle w:val="Prrafodelista"/>
        <w:rPr>
          <w:rFonts w:ascii="Arial" w:hAnsi="Arial" w:cs="Arial"/>
          <w:sz w:val="22"/>
          <w:szCs w:val="22"/>
        </w:rPr>
      </w:pPr>
    </w:p>
    <w:p w:rsidR="00F87902" w:rsidRDefault="00A519F9">
      <w:pPr>
        <w:numPr>
          <w:ilvl w:val="0"/>
          <w:numId w:val="6"/>
        </w:numPr>
        <w:ind w:left="1068"/>
        <w:jc w:val="both"/>
        <w:rPr>
          <w:rFonts w:ascii="Arial" w:hAnsi="Arial" w:cs="Arial"/>
          <w:sz w:val="22"/>
          <w:szCs w:val="22"/>
        </w:rPr>
      </w:pPr>
      <w:r>
        <w:rPr>
          <w:rFonts w:ascii="Arial" w:hAnsi="Arial" w:cs="Arial"/>
          <w:b/>
          <w:sz w:val="22"/>
          <w:szCs w:val="22"/>
        </w:rPr>
        <w:t>67 recursos de reposición</w:t>
      </w:r>
      <w:r>
        <w:rPr>
          <w:rFonts w:ascii="Arial" w:hAnsi="Arial" w:cs="Arial"/>
          <w:sz w:val="22"/>
          <w:szCs w:val="22"/>
        </w:rPr>
        <w:t xml:space="preserve"> por parte de las personas académicas que están en desacuerdo con las respuestas de la Comisión de Carrera Académica a los estudios de casos de ingreso, ascenso, asignación, reasignación, artículo 68 dedicación exclusiva académica (96%).</w:t>
      </w:r>
    </w:p>
    <w:p w:rsidR="00F87902" w:rsidRDefault="00F87902">
      <w:pPr>
        <w:pStyle w:val="Prrafodelista"/>
        <w:rPr>
          <w:rFonts w:ascii="Arial" w:hAnsi="Arial" w:cs="Arial"/>
          <w:sz w:val="22"/>
          <w:szCs w:val="22"/>
        </w:rPr>
      </w:pPr>
    </w:p>
    <w:p w:rsidR="00F87902" w:rsidRDefault="00F87902">
      <w:pPr>
        <w:ind w:left="1068"/>
        <w:jc w:val="both"/>
        <w:rPr>
          <w:rFonts w:ascii="Arial" w:hAnsi="Arial" w:cs="Arial"/>
          <w:color w:val="0070C0"/>
          <w:sz w:val="22"/>
          <w:szCs w:val="22"/>
        </w:rPr>
      </w:pPr>
    </w:p>
    <w:p w:rsidR="006D52EA" w:rsidRDefault="006D52EA">
      <w:pPr>
        <w:ind w:left="708"/>
        <w:jc w:val="both"/>
        <w:rPr>
          <w:rFonts w:ascii="Arial" w:hAnsi="Arial" w:cs="Arial"/>
          <w:b/>
          <w:i/>
          <w:sz w:val="22"/>
          <w:szCs w:val="22"/>
        </w:rPr>
      </w:pPr>
    </w:p>
    <w:p w:rsidR="006D52EA" w:rsidRDefault="006D52EA">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lastRenderedPageBreak/>
        <w:t>Comisión Resolución denuncias hostigamiento sexual.</w:t>
      </w:r>
    </w:p>
    <w:p w:rsidR="00F87902" w:rsidRDefault="00F87902">
      <w:pPr>
        <w:ind w:left="708"/>
        <w:jc w:val="both"/>
        <w:rPr>
          <w:rFonts w:ascii="Arial" w:hAnsi="Arial" w:cs="Arial"/>
          <w:b/>
          <w:i/>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4 denuncias o gestiones relacionadas</w:t>
      </w:r>
      <w:r>
        <w:rPr>
          <w:rFonts w:ascii="Arial" w:hAnsi="Arial" w:cs="Arial"/>
          <w:sz w:val="22"/>
          <w:szCs w:val="22"/>
        </w:rPr>
        <w:t xml:space="preserve"> resueltas (100%).   </w:t>
      </w:r>
    </w:p>
    <w:p w:rsidR="00F87902" w:rsidRDefault="00A519F9">
      <w:pPr>
        <w:numPr>
          <w:ilvl w:val="0"/>
          <w:numId w:val="16"/>
        </w:numPr>
        <w:jc w:val="both"/>
        <w:rPr>
          <w:rFonts w:ascii="Arial" w:hAnsi="Arial" w:cs="Arial"/>
          <w:sz w:val="22"/>
          <w:szCs w:val="22"/>
        </w:rPr>
      </w:pPr>
      <w:r>
        <w:rPr>
          <w:rFonts w:ascii="Arial" w:hAnsi="Arial" w:cs="Arial"/>
          <w:b/>
          <w:sz w:val="22"/>
          <w:szCs w:val="22"/>
        </w:rPr>
        <w:t>1 informe</w:t>
      </w:r>
      <w:r>
        <w:rPr>
          <w:rFonts w:ascii="Arial" w:hAnsi="Arial" w:cs="Arial"/>
          <w:sz w:val="22"/>
          <w:szCs w:val="22"/>
        </w:rPr>
        <w:t xml:space="preserve"> de casos tramitados  (100%).</w:t>
      </w:r>
    </w:p>
    <w:p w:rsidR="00F87902" w:rsidRDefault="00F87902">
      <w:pPr>
        <w:pStyle w:val="Prrafodelista"/>
        <w:rPr>
          <w:rFonts w:ascii="Arial" w:hAnsi="Arial" w:cs="Arial"/>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 xml:space="preserve">Fiscalía contra el hostigamiento sexual. </w:t>
      </w:r>
    </w:p>
    <w:p w:rsidR="00F87902" w:rsidRDefault="00F87902">
      <w:pPr>
        <w:ind w:left="708"/>
        <w:jc w:val="both"/>
        <w:rPr>
          <w:rFonts w:ascii="Arial" w:hAnsi="Arial" w:cs="Arial"/>
          <w:b/>
          <w:i/>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4 reuniones</w:t>
      </w:r>
      <w:r>
        <w:rPr>
          <w:rFonts w:ascii="Arial" w:hAnsi="Arial" w:cs="Arial"/>
          <w:sz w:val="22"/>
          <w:szCs w:val="22"/>
        </w:rPr>
        <w:t xml:space="preserve"> con instancias involucradas directamente en la atención de denuncias de hostigamiento sexual, para analizar la aplicación del reglamento y sus posibles modificaciones: con el IEM, el TUA, la Comisión de Resolución de denuncias de hostigamiento sexual, Asesoría Jurídica, </w:t>
      </w:r>
      <w:r>
        <w:rPr>
          <w:rFonts w:ascii="Arial" w:hAnsi="Arial" w:cs="Arial"/>
          <w:i/>
          <w:sz w:val="22"/>
          <w:szCs w:val="22"/>
        </w:rPr>
        <w:t>Feuna</w:t>
      </w:r>
      <w:r>
        <w:rPr>
          <w:rFonts w:ascii="Arial" w:hAnsi="Arial" w:cs="Arial"/>
          <w:sz w:val="22"/>
          <w:szCs w:val="22"/>
        </w:rPr>
        <w:t xml:space="preserve"> y la Rectoría (más del 100% estimado).</w:t>
      </w:r>
    </w:p>
    <w:p w:rsidR="00F87902" w:rsidRDefault="00F87902">
      <w:pPr>
        <w:ind w:left="1068"/>
        <w:jc w:val="both"/>
        <w:rPr>
          <w:rFonts w:ascii="Arial" w:hAnsi="Arial" w:cs="Arial"/>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8 charlas</w:t>
      </w:r>
      <w:r>
        <w:rPr>
          <w:rFonts w:ascii="Arial" w:hAnsi="Arial" w:cs="Arial"/>
          <w:sz w:val="22"/>
          <w:szCs w:val="22"/>
        </w:rPr>
        <w:t xml:space="preserve"> que desalienten las conductas de hostigamiento sexual (más del 100% estimado).</w:t>
      </w:r>
    </w:p>
    <w:p w:rsidR="00F87902" w:rsidRDefault="00F87902">
      <w:pPr>
        <w:ind w:left="1068"/>
        <w:jc w:val="both"/>
        <w:rPr>
          <w:rFonts w:ascii="Arial" w:hAnsi="Arial" w:cs="Arial"/>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 xml:space="preserve">4 procesos administrativos </w:t>
      </w:r>
      <w:r>
        <w:rPr>
          <w:rFonts w:ascii="Arial" w:hAnsi="Arial" w:cs="Arial"/>
          <w:sz w:val="22"/>
          <w:szCs w:val="22"/>
        </w:rPr>
        <w:t>de hostigamiento sexual representados (80%).</w:t>
      </w:r>
    </w:p>
    <w:p w:rsidR="00F87902" w:rsidRDefault="00F87902">
      <w:pPr>
        <w:ind w:left="1068"/>
        <w:jc w:val="both"/>
        <w:rPr>
          <w:rFonts w:ascii="Arial" w:hAnsi="Arial" w:cs="Arial"/>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17 víctimas de hostigamiento sexual atendidas</w:t>
      </w:r>
      <w:r>
        <w:rPr>
          <w:rFonts w:ascii="Arial" w:hAnsi="Arial" w:cs="Arial"/>
          <w:sz w:val="22"/>
          <w:szCs w:val="22"/>
        </w:rPr>
        <w:t xml:space="preserve"> mediante contención psicológica, (más del 100% estimado). </w:t>
      </w:r>
    </w:p>
    <w:p w:rsidR="00F87902" w:rsidRDefault="00F87902">
      <w:pPr>
        <w:pStyle w:val="Prrafodelista"/>
        <w:rPr>
          <w:rFonts w:ascii="Arial" w:hAnsi="Arial" w:cs="Arial"/>
          <w:sz w:val="22"/>
          <w:szCs w:val="22"/>
        </w:rPr>
      </w:pPr>
    </w:p>
    <w:p w:rsidR="00F87902" w:rsidRDefault="00A519F9">
      <w:pPr>
        <w:numPr>
          <w:ilvl w:val="0"/>
          <w:numId w:val="16"/>
        </w:numPr>
        <w:jc w:val="both"/>
        <w:rPr>
          <w:rFonts w:ascii="Arial" w:hAnsi="Arial" w:cs="Arial"/>
          <w:sz w:val="22"/>
          <w:szCs w:val="22"/>
        </w:rPr>
      </w:pPr>
      <w:r>
        <w:rPr>
          <w:rFonts w:ascii="Arial" w:hAnsi="Arial" w:cs="Arial"/>
          <w:b/>
          <w:sz w:val="22"/>
          <w:szCs w:val="22"/>
        </w:rPr>
        <w:t>2.500 panfletos</w:t>
      </w:r>
      <w:r>
        <w:rPr>
          <w:rFonts w:ascii="Arial" w:hAnsi="Arial" w:cs="Arial"/>
          <w:sz w:val="22"/>
          <w:szCs w:val="22"/>
        </w:rPr>
        <w:t xml:space="preserve"> repartidos en los campus de la universidad (100%).  </w:t>
      </w:r>
    </w:p>
    <w:p w:rsidR="00F87902" w:rsidRDefault="00F87902">
      <w:pPr>
        <w:pStyle w:val="Prrafodelista"/>
        <w:rPr>
          <w:rFonts w:ascii="Arial" w:hAnsi="Arial" w:cs="Arial"/>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 xml:space="preserve">Tribunal Universitario de Apelaciones (TUA). </w:t>
      </w:r>
    </w:p>
    <w:p w:rsidR="00F87902" w:rsidRDefault="00F87902">
      <w:pPr>
        <w:pStyle w:val="Prrafodelista"/>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1 folleto</w:t>
      </w:r>
      <w:r>
        <w:rPr>
          <w:rFonts w:ascii="Arial" w:hAnsi="Arial" w:cs="Arial"/>
          <w:sz w:val="22"/>
          <w:szCs w:val="22"/>
        </w:rPr>
        <w:t xml:space="preserve"> de los considerandos de los votos del TUA del 2014 (100%).</w:t>
      </w:r>
    </w:p>
    <w:p w:rsidR="00F87902" w:rsidRDefault="00F87902">
      <w:pPr>
        <w:ind w:left="1068"/>
        <w:jc w:val="both"/>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1 informe</w:t>
      </w:r>
      <w:r>
        <w:rPr>
          <w:rFonts w:ascii="Arial" w:hAnsi="Arial" w:cs="Arial"/>
          <w:sz w:val="22"/>
          <w:szCs w:val="22"/>
        </w:rPr>
        <w:t xml:space="preserve"> anual de labores presentado ante el Consejo Universitario (100%).</w:t>
      </w:r>
    </w:p>
    <w:p w:rsidR="00F87902" w:rsidRDefault="00F87902">
      <w:pPr>
        <w:ind w:left="1068"/>
        <w:jc w:val="both"/>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 xml:space="preserve">24 votos elaborados </w:t>
      </w:r>
      <w:r>
        <w:rPr>
          <w:rFonts w:ascii="Arial" w:hAnsi="Arial" w:cs="Arial"/>
          <w:sz w:val="22"/>
          <w:szCs w:val="22"/>
        </w:rPr>
        <w:t xml:space="preserve">de los recursos de apelación presentados ante el TUA (80%). </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2 recusaciones</w:t>
      </w:r>
      <w:r>
        <w:rPr>
          <w:rFonts w:ascii="Arial" w:hAnsi="Arial" w:cs="Arial"/>
          <w:sz w:val="22"/>
          <w:szCs w:val="22"/>
        </w:rPr>
        <w:t xml:space="preserve"> presentadas contra los miembros del TUA (40%).  </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 xml:space="preserve">16 recursos de nulidad </w:t>
      </w:r>
      <w:r>
        <w:rPr>
          <w:rFonts w:ascii="Arial" w:hAnsi="Arial" w:cs="Arial"/>
          <w:sz w:val="22"/>
          <w:szCs w:val="22"/>
        </w:rPr>
        <w:t>resueltos (más del 100% estimado).</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1 informe de actuación</w:t>
      </w:r>
      <w:r>
        <w:rPr>
          <w:rFonts w:ascii="Arial" w:hAnsi="Arial" w:cs="Arial"/>
          <w:sz w:val="22"/>
          <w:szCs w:val="22"/>
        </w:rPr>
        <w:t xml:space="preserve"> de un recurso de amparo presentado contra el TUA (100%).</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7 recursos de adición y aclaración</w:t>
      </w:r>
      <w:r>
        <w:rPr>
          <w:rFonts w:ascii="Arial" w:hAnsi="Arial" w:cs="Arial"/>
          <w:sz w:val="22"/>
          <w:szCs w:val="22"/>
        </w:rPr>
        <w:t xml:space="preserve"> a los votos de los recursos de apelación emitidos ante el TUA (70%).</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41 notificaciones</w:t>
      </w:r>
      <w:r>
        <w:rPr>
          <w:rFonts w:ascii="Arial" w:hAnsi="Arial" w:cs="Arial"/>
          <w:sz w:val="22"/>
          <w:szCs w:val="22"/>
        </w:rPr>
        <w:t xml:space="preserve"> enviadas a las diferentes partes sobre las resoluciones de los recursos presentados ante el TUA (100%).</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12 notificaciones</w:t>
      </w:r>
      <w:r>
        <w:rPr>
          <w:rFonts w:ascii="Arial" w:hAnsi="Arial" w:cs="Arial"/>
          <w:sz w:val="22"/>
          <w:szCs w:val="22"/>
        </w:rPr>
        <w:t xml:space="preserve"> enviadas a las diferentes partes sobre el envío de documentos faltantes en los expedientes (100%).</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30 notificaciones</w:t>
      </w:r>
      <w:r>
        <w:rPr>
          <w:rFonts w:ascii="Arial" w:hAnsi="Arial" w:cs="Arial"/>
          <w:sz w:val="22"/>
          <w:szCs w:val="22"/>
        </w:rPr>
        <w:t xml:space="preserve"> de interlocutorios de los expedientes que ingresan al Tribunal (75%).    </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lastRenderedPageBreak/>
        <w:t>33 estudios</w:t>
      </w:r>
      <w:r>
        <w:rPr>
          <w:rFonts w:ascii="Arial" w:hAnsi="Arial" w:cs="Arial"/>
          <w:sz w:val="22"/>
          <w:szCs w:val="22"/>
        </w:rPr>
        <w:t xml:space="preserve"> de las leyes nacionales y de la normativa de la UNA  (más del 100% estimado).</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2 reformas</w:t>
      </w:r>
      <w:r>
        <w:rPr>
          <w:rFonts w:ascii="Arial" w:hAnsi="Arial" w:cs="Arial"/>
          <w:sz w:val="22"/>
          <w:szCs w:val="22"/>
        </w:rPr>
        <w:t xml:space="preserve"> propuestas a diferentes reglamentos institucionales: Reglamento para prevenir, investigar y sancionar el hostigamiento sexual, y propuesta de manual de procedimientos para atención de procesos disciplinarios y destitución de autoridades universitarias por elección enviada por el </w:t>
      </w:r>
      <w:r>
        <w:rPr>
          <w:rFonts w:ascii="Arial" w:hAnsi="Arial" w:cs="Arial"/>
          <w:i/>
          <w:sz w:val="22"/>
          <w:szCs w:val="22"/>
        </w:rPr>
        <w:t>Teuna</w:t>
      </w:r>
      <w:r>
        <w:rPr>
          <w:rFonts w:ascii="Arial" w:hAnsi="Arial" w:cs="Arial"/>
          <w:sz w:val="22"/>
          <w:szCs w:val="22"/>
        </w:rPr>
        <w:t xml:space="preserve"> (más del 100% estimado).</w:t>
      </w:r>
    </w:p>
    <w:p w:rsidR="00F87902" w:rsidRDefault="00F87902">
      <w:pPr>
        <w:pStyle w:val="Prrafodelista"/>
        <w:rPr>
          <w:rFonts w:ascii="Arial" w:hAnsi="Arial" w:cs="Arial"/>
          <w:color w:val="0070C0"/>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 xml:space="preserve">Defensoría del Estudiante. </w:t>
      </w:r>
    </w:p>
    <w:p w:rsidR="00F87902" w:rsidRDefault="00F87902">
      <w:pPr>
        <w:ind w:left="708"/>
        <w:jc w:val="both"/>
        <w:rPr>
          <w:rFonts w:ascii="Arial" w:hAnsi="Arial" w:cs="Arial"/>
          <w:b/>
          <w:i/>
          <w:sz w:val="22"/>
          <w:szCs w:val="22"/>
        </w:rPr>
      </w:pPr>
    </w:p>
    <w:p w:rsidR="00F87902" w:rsidRDefault="00A519F9">
      <w:pPr>
        <w:numPr>
          <w:ilvl w:val="0"/>
          <w:numId w:val="15"/>
        </w:numPr>
        <w:jc w:val="both"/>
        <w:rPr>
          <w:rFonts w:ascii="Arial" w:hAnsi="Arial" w:cs="Arial"/>
          <w:sz w:val="22"/>
          <w:szCs w:val="22"/>
        </w:rPr>
      </w:pPr>
      <w:r>
        <w:rPr>
          <w:rFonts w:ascii="Arial" w:hAnsi="Arial" w:cs="Arial"/>
          <w:b/>
          <w:sz w:val="22"/>
          <w:szCs w:val="22"/>
        </w:rPr>
        <w:t xml:space="preserve">13 giras </w:t>
      </w:r>
      <w:r>
        <w:rPr>
          <w:rFonts w:ascii="Arial" w:hAnsi="Arial" w:cs="Arial"/>
          <w:sz w:val="22"/>
          <w:szCs w:val="22"/>
        </w:rPr>
        <w:t>a sedes regionales: 4 a la Brunca, 4 a la Sede Interuniversitaria de Alajuela, 3 a la Sección Huetar Norte y Caribe, y 2 a la Chorotega para divulgar los servicios que ofrece la Defensoría y la normativa aplicable al estudiantado a fin de que conozca sus derechos, deberes y prohibiciones (más del 100% estimado).</w:t>
      </w:r>
    </w:p>
    <w:p w:rsidR="00F87902" w:rsidRDefault="00F87902">
      <w:pPr>
        <w:ind w:left="1068"/>
        <w:jc w:val="both"/>
        <w:rPr>
          <w:rFonts w:ascii="Arial" w:hAnsi="Arial" w:cs="Arial"/>
          <w:sz w:val="22"/>
          <w:szCs w:val="22"/>
        </w:rPr>
      </w:pPr>
    </w:p>
    <w:p w:rsidR="00F87902" w:rsidRDefault="00A519F9">
      <w:pPr>
        <w:numPr>
          <w:ilvl w:val="0"/>
          <w:numId w:val="15"/>
        </w:numPr>
        <w:jc w:val="both"/>
        <w:rPr>
          <w:rFonts w:ascii="Arial" w:hAnsi="Arial" w:cs="Arial"/>
          <w:sz w:val="22"/>
          <w:szCs w:val="22"/>
        </w:rPr>
      </w:pPr>
      <w:r>
        <w:rPr>
          <w:rFonts w:ascii="Arial" w:hAnsi="Arial" w:cs="Arial"/>
          <w:b/>
          <w:sz w:val="22"/>
          <w:szCs w:val="22"/>
        </w:rPr>
        <w:t xml:space="preserve">2.000 ejemplares distribuidos </w:t>
      </w:r>
      <w:r>
        <w:rPr>
          <w:rFonts w:ascii="Arial" w:hAnsi="Arial" w:cs="Arial"/>
          <w:sz w:val="22"/>
          <w:szCs w:val="22"/>
        </w:rPr>
        <w:t xml:space="preserve">del </w:t>
      </w:r>
      <w:r>
        <w:rPr>
          <w:rFonts w:ascii="Arial" w:hAnsi="Arial" w:cs="Arial"/>
          <w:i/>
          <w:sz w:val="22"/>
          <w:szCs w:val="22"/>
        </w:rPr>
        <w:t>Reglamento general sobre los procesos de enseñanza y aprendizaje</w:t>
      </w:r>
      <w:r>
        <w:rPr>
          <w:rFonts w:ascii="Arial" w:hAnsi="Arial" w:cs="Arial"/>
          <w:sz w:val="22"/>
          <w:szCs w:val="22"/>
        </w:rPr>
        <w:t>, tanto a estudiantes como a personal docente y administrativo (más del 100% estimado).</w:t>
      </w:r>
    </w:p>
    <w:p w:rsidR="00F87902" w:rsidRDefault="00F87902">
      <w:pPr>
        <w:pStyle w:val="Prrafodelista"/>
        <w:rPr>
          <w:rFonts w:ascii="Arial" w:hAnsi="Arial" w:cs="Arial"/>
          <w:sz w:val="22"/>
          <w:szCs w:val="22"/>
        </w:rPr>
      </w:pPr>
    </w:p>
    <w:p w:rsidR="00F87902" w:rsidRDefault="00A519F9">
      <w:pPr>
        <w:numPr>
          <w:ilvl w:val="0"/>
          <w:numId w:val="15"/>
        </w:numPr>
        <w:jc w:val="both"/>
        <w:rPr>
          <w:rFonts w:ascii="Arial" w:hAnsi="Arial" w:cs="Arial"/>
          <w:sz w:val="22"/>
          <w:szCs w:val="22"/>
        </w:rPr>
      </w:pPr>
      <w:r>
        <w:rPr>
          <w:rFonts w:ascii="Arial" w:hAnsi="Arial" w:cs="Arial"/>
          <w:b/>
          <w:sz w:val="22"/>
          <w:szCs w:val="22"/>
        </w:rPr>
        <w:t>25 charlas</w:t>
      </w:r>
      <w:r>
        <w:rPr>
          <w:rFonts w:ascii="Arial" w:hAnsi="Arial" w:cs="Arial"/>
          <w:sz w:val="22"/>
          <w:szCs w:val="22"/>
        </w:rPr>
        <w:t xml:space="preserve">  sobre los derechos, los deberes y las prohibiciones estudiantiles (más del 100% estimado).</w:t>
      </w:r>
    </w:p>
    <w:p w:rsidR="00F87902" w:rsidRDefault="00F87902">
      <w:pPr>
        <w:pStyle w:val="Prrafodelista"/>
        <w:rPr>
          <w:rFonts w:ascii="Arial" w:hAnsi="Arial" w:cs="Arial"/>
          <w:sz w:val="22"/>
          <w:szCs w:val="22"/>
        </w:rPr>
      </w:pPr>
    </w:p>
    <w:p w:rsidR="00F87902" w:rsidRDefault="00A519F9">
      <w:pPr>
        <w:numPr>
          <w:ilvl w:val="0"/>
          <w:numId w:val="15"/>
        </w:numPr>
        <w:jc w:val="both"/>
        <w:rPr>
          <w:rFonts w:ascii="Arial" w:hAnsi="Arial" w:cs="Arial"/>
          <w:b/>
          <w:sz w:val="22"/>
          <w:szCs w:val="22"/>
        </w:rPr>
      </w:pPr>
      <w:r>
        <w:rPr>
          <w:rFonts w:ascii="Arial" w:hAnsi="Arial" w:cs="Arial"/>
          <w:b/>
          <w:sz w:val="22"/>
          <w:szCs w:val="22"/>
        </w:rPr>
        <w:t>138 casos atendidos</w:t>
      </w:r>
      <w:r>
        <w:rPr>
          <w:rFonts w:ascii="Arial" w:hAnsi="Arial" w:cs="Arial"/>
          <w:sz w:val="22"/>
          <w:szCs w:val="22"/>
        </w:rPr>
        <w:t xml:space="preserve">, buscando soluciones oportunas y eficaces a la situación expuesta por estudiantes, docentes y funcionarios (as) administrativos (as), (más del 100% estimado). </w:t>
      </w:r>
    </w:p>
    <w:p w:rsidR="00F87902" w:rsidRDefault="00F87902">
      <w:pPr>
        <w:pStyle w:val="Prrafodelista"/>
        <w:rPr>
          <w:rFonts w:ascii="Arial" w:hAnsi="Arial" w:cs="Arial"/>
          <w:b/>
          <w:sz w:val="22"/>
          <w:szCs w:val="22"/>
        </w:rPr>
      </w:pPr>
    </w:p>
    <w:p w:rsidR="00F87902" w:rsidRDefault="00A519F9">
      <w:pPr>
        <w:numPr>
          <w:ilvl w:val="0"/>
          <w:numId w:val="15"/>
        </w:numPr>
        <w:jc w:val="both"/>
        <w:rPr>
          <w:rFonts w:ascii="Arial" w:hAnsi="Arial" w:cs="Arial"/>
          <w:sz w:val="22"/>
          <w:szCs w:val="22"/>
        </w:rPr>
      </w:pPr>
      <w:r>
        <w:rPr>
          <w:rFonts w:ascii="Arial" w:hAnsi="Arial" w:cs="Arial"/>
          <w:b/>
          <w:sz w:val="22"/>
          <w:szCs w:val="22"/>
        </w:rPr>
        <w:t xml:space="preserve">1 informe evaluativo </w:t>
      </w:r>
      <w:r>
        <w:rPr>
          <w:rFonts w:ascii="Arial" w:hAnsi="Arial" w:cs="Arial"/>
          <w:sz w:val="22"/>
          <w:szCs w:val="22"/>
        </w:rPr>
        <w:t>de la labor realizada, presentado ante el Consejo Universitario (100%).</w:t>
      </w:r>
    </w:p>
    <w:p w:rsidR="00F87902" w:rsidRDefault="00F87902">
      <w:pPr>
        <w:pStyle w:val="Prrafodelista"/>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ind w:left="708"/>
        <w:jc w:val="both"/>
      </w:pPr>
      <w:r>
        <w:rPr>
          <w:rFonts w:ascii="Arial" w:hAnsi="Arial" w:cs="Arial"/>
          <w:b/>
          <w:i/>
          <w:sz w:val="22"/>
          <w:szCs w:val="22"/>
        </w:rPr>
        <w:t>Junta de Relaciones Laborales.</w:t>
      </w:r>
    </w:p>
    <w:p w:rsidR="00F87902" w:rsidRDefault="00F87902">
      <w:pPr>
        <w:ind w:left="1068"/>
        <w:jc w:val="both"/>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21 sesiones</w:t>
      </w:r>
      <w:r>
        <w:rPr>
          <w:rFonts w:ascii="Arial" w:hAnsi="Arial" w:cs="Arial"/>
          <w:sz w:val="22"/>
          <w:szCs w:val="22"/>
        </w:rPr>
        <w:t xml:space="preserve"> realizadas (más del 100% estimado).</w:t>
      </w:r>
    </w:p>
    <w:p w:rsidR="00F87902" w:rsidRDefault="00F87902">
      <w:pPr>
        <w:ind w:left="1068"/>
        <w:jc w:val="both"/>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 xml:space="preserve">12 trámites de conflictos </w:t>
      </w:r>
      <w:r>
        <w:rPr>
          <w:rFonts w:ascii="Arial" w:hAnsi="Arial" w:cs="Arial"/>
          <w:sz w:val="22"/>
          <w:szCs w:val="22"/>
        </w:rPr>
        <w:t>individuales o colectivos de trabajo(más del 100% estimado).</w:t>
      </w:r>
    </w:p>
    <w:p w:rsidR="00F87902" w:rsidRDefault="00F87902">
      <w:pPr>
        <w:pStyle w:val="Prrafodelista"/>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27 audiencias</w:t>
      </w:r>
      <w:r>
        <w:rPr>
          <w:rFonts w:ascii="Arial" w:hAnsi="Arial" w:cs="Arial"/>
          <w:sz w:val="22"/>
          <w:szCs w:val="22"/>
        </w:rPr>
        <w:t xml:space="preserve"> de conciliación convocadas (más del 100% estimado).</w:t>
      </w:r>
    </w:p>
    <w:p w:rsidR="00F87902" w:rsidRDefault="00F87902">
      <w:pPr>
        <w:pStyle w:val="Prrafodelista"/>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 xml:space="preserve">7 mediaciones </w:t>
      </w:r>
      <w:r>
        <w:rPr>
          <w:rFonts w:ascii="Arial" w:hAnsi="Arial" w:cs="Arial"/>
          <w:sz w:val="22"/>
          <w:szCs w:val="22"/>
        </w:rPr>
        <w:t>ejecutadas (más del 100% estimado).</w:t>
      </w:r>
    </w:p>
    <w:p w:rsidR="00F87902" w:rsidRDefault="00F87902">
      <w:pPr>
        <w:pStyle w:val="Prrafodelista"/>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3 actividades</w:t>
      </w:r>
      <w:r>
        <w:rPr>
          <w:rFonts w:ascii="Arial" w:hAnsi="Arial" w:cs="Arial"/>
          <w:sz w:val="22"/>
          <w:szCs w:val="22"/>
        </w:rPr>
        <w:t xml:space="preserve"> de divulgación (100%).   </w:t>
      </w:r>
    </w:p>
    <w:p w:rsidR="00F87902" w:rsidRDefault="00F87902">
      <w:pPr>
        <w:pStyle w:val="Prrafodelista"/>
        <w:rPr>
          <w:rFonts w:ascii="Arial" w:hAnsi="Arial" w:cs="Arial"/>
          <w:sz w:val="22"/>
          <w:szCs w:val="22"/>
        </w:rPr>
      </w:pPr>
    </w:p>
    <w:p w:rsidR="00F87902" w:rsidRDefault="00F87902">
      <w:pPr>
        <w:ind w:left="1068"/>
        <w:jc w:val="both"/>
        <w:rPr>
          <w:rFonts w:ascii="Arial" w:hAnsi="Arial" w:cs="Arial"/>
          <w:sz w:val="22"/>
          <w:szCs w:val="22"/>
        </w:rPr>
      </w:pPr>
    </w:p>
    <w:p w:rsidR="00F87902" w:rsidRDefault="00A519F9">
      <w:pPr>
        <w:ind w:left="708"/>
        <w:jc w:val="both"/>
      </w:pPr>
      <w:r>
        <w:rPr>
          <w:rFonts w:ascii="Arial" w:hAnsi="Arial" w:cs="Arial"/>
          <w:b/>
          <w:i/>
          <w:sz w:val="22"/>
          <w:szCs w:val="22"/>
        </w:rPr>
        <w:t>Tribunal Electoral Universitario (Teuna).</w:t>
      </w:r>
    </w:p>
    <w:p w:rsidR="00F87902" w:rsidRDefault="00F87902">
      <w:pPr>
        <w:ind w:left="708"/>
        <w:jc w:val="both"/>
        <w:rPr>
          <w:rFonts w:ascii="Arial" w:hAnsi="Arial" w:cs="Arial"/>
          <w:b/>
          <w:i/>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19 representantes administrativos</w:t>
      </w:r>
      <w:r>
        <w:rPr>
          <w:rFonts w:ascii="Arial" w:hAnsi="Arial" w:cs="Arial"/>
          <w:sz w:val="22"/>
          <w:szCs w:val="22"/>
        </w:rPr>
        <w:t xml:space="preserve"> ante la Asamblea de Representantes de la Universidad Nacional (100%).</w:t>
      </w:r>
    </w:p>
    <w:p w:rsidR="00F87902" w:rsidRDefault="00F87902">
      <w:pPr>
        <w:ind w:left="1080"/>
        <w:jc w:val="both"/>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30 autoridades</w:t>
      </w:r>
      <w:r>
        <w:rPr>
          <w:rFonts w:ascii="Arial" w:hAnsi="Arial" w:cs="Arial"/>
          <w:sz w:val="22"/>
          <w:szCs w:val="22"/>
        </w:rPr>
        <w:t xml:space="preserve"> cuyas elecciones fueron ratificadas (100%).</w:t>
      </w:r>
    </w:p>
    <w:p w:rsidR="00F87902" w:rsidRDefault="00F87902">
      <w:pPr>
        <w:ind w:left="1068"/>
        <w:jc w:val="both"/>
        <w:rPr>
          <w:rFonts w:ascii="Arial" w:hAnsi="Arial" w:cs="Arial"/>
          <w:color w:val="0070C0"/>
          <w:sz w:val="22"/>
          <w:szCs w:val="22"/>
        </w:rPr>
      </w:pPr>
    </w:p>
    <w:p w:rsidR="00F87902" w:rsidRDefault="00A519F9">
      <w:pPr>
        <w:numPr>
          <w:ilvl w:val="0"/>
          <w:numId w:val="25"/>
        </w:numPr>
        <w:jc w:val="both"/>
        <w:rPr>
          <w:rFonts w:ascii="Arial" w:hAnsi="Arial" w:cs="Arial"/>
          <w:b/>
          <w:sz w:val="22"/>
          <w:szCs w:val="22"/>
        </w:rPr>
      </w:pPr>
      <w:r>
        <w:rPr>
          <w:rFonts w:ascii="Arial" w:hAnsi="Arial" w:cs="Arial"/>
          <w:b/>
          <w:sz w:val="22"/>
          <w:szCs w:val="22"/>
        </w:rPr>
        <w:lastRenderedPageBreak/>
        <w:t>47 candidatos capacitados de aquellos</w:t>
      </w:r>
      <w:r>
        <w:rPr>
          <w:rFonts w:ascii="Arial" w:hAnsi="Arial" w:cs="Arial"/>
          <w:sz w:val="22"/>
          <w:szCs w:val="22"/>
        </w:rPr>
        <w:t xml:space="preserve"> postulados como autoridades universitarias (más del 100% estimado). </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b/>
          <w:sz w:val="22"/>
          <w:szCs w:val="22"/>
        </w:rPr>
      </w:pPr>
      <w:r>
        <w:rPr>
          <w:rFonts w:ascii="Arial" w:hAnsi="Arial" w:cs="Arial"/>
          <w:b/>
          <w:sz w:val="22"/>
          <w:szCs w:val="22"/>
        </w:rPr>
        <w:t xml:space="preserve">30 certificados </w:t>
      </w:r>
      <w:r>
        <w:rPr>
          <w:rFonts w:ascii="Arial" w:hAnsi="Arial" w:cs="Arial"/>
          <w:sz w:val="22"/>
          <w:szCs w:val="22"/>
        </w:rPr>
        <w:t>entregados a autoridades universitarias electas (100%).</w:t>
      </w:r>
    </w:p>
    <w:p w:rsidR="00F87902" w:rsidRDefault="00F87902">
      <w:pPr>
        <w:pStyle w:val="Prrafodelista"/>
        <w:rPr>
          <w:rFonts w:ascii="Arial" w:hAnsi="Arial" w:cs="Arial"/>
          <w:b/>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200 ejemplares</w:t>
      </w:r>
      <w:r>
        <w:rPr>
          <w:rFonts w:ascii="Arial" w:hAnsi="Arial" w:cs="Arial"/>
          <w:sz w:val="22"/>
          <w:szCs w:val="22"/>
        </w:rPr>
        <w:t xml:space="preserve"> del cronograma de procesos electorales distribuidos entre la comunidad universitaria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50 actos públicos </w:t>
      </w:r>
      <w:r>
        <w:rPr>
          <w:rFonts w:ascii="Arial" w:hAnsi="Arial" w:cs="Arial"/>
          <w:sz w:val="22"/>
          <w:szCs w:val="22"/>
        </w:rPr>
        <w:t>de presentación de candidatos (más del 100% estimado).</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23 comunicados oficiales</w:t>
      </w:r>
      <w:r>
        <w:rPr>
          <w:rFonts w:ascii="Arial" w:hAnsi="Arial" w:cs="Arial"/>
          <w:sz w:val="22"/>
          <w:szCs w:val="22"/>
        </w:rPr>
        <w:t xml:space="preserve"> informando a la comunidad sobre nuevas autoridades universitarias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 xml:space="preserve">2 capacitaciones </w:t>
      </w:r>
      <w:r>
        <w:rPr>
          <w:rFonts w:ascii="Arial" w:hAnsi="Arial" w:cs="Arial"/>
          <w:sz w:val="22"/>
          <w:szCs w:val="22"/>
        </w:rPr>
        <w:t xml:space="preserve">para delegados del </w:t>
      </w:r>
      <w:r>
        <w:rPr>
          <w:rFonts w:ascii="Arial" w:hAnsi="Arial" w:cs="Arial"/>
          <w:i/>
          <w:sz w:val="22"/>
          <w:szCs w:val="22"/>
        </w:rPr>
        <w:t>Teuna</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 trámite</w:t>
      </w:r>
      <w:r>
        <w:rPr>
          <w:rFonts w:ascii="Arial" w:hAnsi="Arial" w:cs="Arial"/>
          <w:sz w:val="22"/>
          <w:szCs w:val="22"/>
        </w:rPr>
        <w:t xml:space="preserve"> de publicación de 50 ejemplares del reglamento del </w:t>
      </w:r>
      <w:r>
        <w:rPr>
          <w:rFonts w:ascii="Arial" w:hAnsi="Arial" w:cs="Arial"/>
          <w:i/>
          <w:sz w:val="22"/>
          <w:szCs w:val="22"/>
        </w:rPr>
        <w:t>Teuna</w:t>
      </w:r>
      <w:r>
        <w:rPr>
          <w:rFonts w:ascii="Arial" w:hAnsi="Arial" w:cs="Arial"/>
          <w:sz w:val="22"/>
          <w:szCs w:val="22"/>
        </w:rPr>
        <w:t xml:space="preserve"> modificados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 programación</w:t>
      </w:r>
      <w:r>
        <w:rPr>
          <w:rFonts w:ascii="Arial" w:hAnsi="Arial" w:cs="Arial"/>
          <w:sz w:val="22"/>
          <w:szCs w:val="22"/>
        </w:rPr>
        <w:t xml:space="preserve"> del proceso electoral para votar el </w:t>
      </w:r>
      <w:r>
        <w:rPr>
          <w:rFonts w:ascii="Arial" w:hAnsi="Arial" w:cs="Arial"/>
          <w:i/>
          <w:sz w:val="22"/>
          <w:szCs w:val="22"/>
        </w:rPr>
        <w:t>referéndum</w:t>
      </w:r>
      <w:r>
        <w:rPr>
          <w:rFonts w:ascii="Arial" w:hAnsi="Arial" w:cs="Arial"/>
          <w:sz w:val="22"/>
          <w:szCs w:val="22"/>
        </w:rPr>
        <w:t xml:space="preserve"> de modificación de los artículos 51 y 107 del nuevo Estatuto Orgánico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 programación</w:t>
      </w:r>
      <w:r>
        <w:rPr>
          <w:rFonts w:ascii="Arial" w:hAnsi="Arial" w:cs="Arial"/>
          <w:sz w:val="22"/>
          <w:szCs w:val="22"/>
        </w:rPr>
        <w:t xml:space="preserve"> de segunda ronda del proceso electoral conducente a la elección de un integrante académico ante el Consejo Universitario (100%).</w:t>
      </w:r>
    </w:p>
    <w:p w:rsidR="00F87902" w:rsidRDefault="00F87902">
      <w:pPr>
        <w:pStyle w:val="Prrafodelista"/>
        <w:rPr>
          <w:rFonts w:ascii="Arial" w:hAnsi="Arial" w:cs="Arial"/>
          <w:sz w:val="22"/>
          <w:szCs w:val="22"/>
        </w:rPr>
      </w:pPr>
    </w:p>
    <w:p w:rsidR="00F87902" w:rsidRDefault="00A519F9">
      <w:pPr>
        <w:numPr>
          <w:ilvl w:val="0"/>
          <w:numId w:val="25"/>
        </w:numPr>
        <w:jc w:val="both"/>
        <w:rPr>
          <w:rFonts w:ascii="Arial" w:hAnsi="Arial" w:cs="Arial"/>
          <w:sz w:val="22"/>
          <w:szCs w:val="22"/>
        </w:rPr>
      </w:pPr>
      <w:r>
        <w:rPr>
          <w:rFonts w:ascii="Arial" w:hAnsi="Arial" w:cs="Arial"/>
          <w:b/>
          <w:sz w:val="22"/>
          <w:szCs w:val="22"/>
        </w:rPr>
        <w:t>1 elección de autoridad</w:t>
      </w:r>
      <w:r>
        <w:rPr>
          <w:rFonts w:ascii="Arial" w:hAnsi="Arial" w:cs="Arial"/>
          <w:sz w:val="22"/>
          <w:szCs w:val="22"/>
        </w:rPr>
        <w:t xml:space="preserve"> universitaria no programada (100%).</w:t>
      </w:r>
    </w:p>
    <w:p w:rsidR="00F87902" w:rsidRDefault="00F87902">
      <w:pPr>
        <w:pStyle w:val="Prrafodelista"/>
        <w:ind w:left="1428"/>
        <w:rPr>
          <w:rFonts w:ascii="Arial" w:hAnsi="Arial" w:cs="Arial"/>
          <w:sz w:val="22"/>
          <w:szCs w:val="22"/>
        </w:rPr>
      </w:pP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3.3 Brindar 1.387 servicios de producción editorial, publicaciones e impresiones, que permitan divulgar el quehacer universitario.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generado en esta meta es de un </w:t>
      </w:r>
      <w:r>
        <w:rPr>
          <w:rFonts w:ascii="Arial" w:hAnsi="Arial" w:cs="Arial"/>
          <w:b/>
          <w:sz w:val="22"/>
          <w:szCs w:val="22"/>
        </w:rPr>
        <w:t>90%</w:t>
      </w:r>
      <w:r>
        <w:rPr>
          <w:rFonts w:ascii="Arial" w:hAnsi="Arial" w:cs="Arial"/>
          <w:sz w:val="22"/>
          <w:szCs w:val="22"/>
        </w:rPr>
        <w:t>; de conformidad con el número de servicios atendidos (1.253)  durante el año, según detalle:</w:t>
      </w:r>
    </w:p>
    <w:p w:rsidR="00F87902" w:rsidRDefault="00F87902">
      <w:pPr>
        <w:ind w:left="708"/>
        <w:jc w:val="both"/>
        <w:rPr>
          <w:rFonts w:ascii="Arial" w:hAnsi="Arial" w:cs="Arial"/>
          <w:b/>
        </w:rPr>
      </w:pPr>
    </w:p>
    <w:p w:rsidR="00F87902" w:rsidRDefault="00F87902">
      <w:pPr>
        <w:ind w:left="708"/>
        <w:rPr>
          <w:rFonts w:ascii="Arial" w:hAnsi="Arial" w:cs="Arial"/>
          <w:b/>
          <w:i/>
          <w:sz w:val="22"/>
          <w:szCs w:val="22"/>
        </w:rPr>
      </w:pPr>
    </w:p>
    <w:p w:rsidR="00F87902" w:rsidRDefault="00A519F9">
      <w:pPr>
        <w:ind w:left="708"/>
      </w:pPr>
      <w:r>
        <w:rPr>
          <w:rFonts w:ascii="Arial" w:hAnsi="Arial" w:cs="Arial"/>
          <w:b/>
          <w:i/>
          <w:sz w:val="22"/>
          <w:szCs w:val="22"/>
        </w:rPr>
        <w:t>Editorial Universidad Nacional (EUNA).</w:t>
      </w:r>
    </w:p>
    <w:p w:rsidR="00F87902" w:rsidRDefault="00F87902">
      <w:pPr>
        <w:ind w:left="708"/>
        <w:jc w:val="both"/>
        <w:rPr>
          <w:rFonts w:ascii="Arial" w:hAnsi="Arial" w:cs="Arial"/>
          <w:b/>
          <w:i/>
          <w:sz w:val="22"/>
          <w:szCs w:val="22"/>
        </w:rPr>
      </w:pPr>
    </w:p>
    <w:p w:rsidR="00F87902" w:rsidRDefault="00A519F9">
      <w:pPr>
        <w:numPr>
          <w:ilvl w:val="0"/>
          <w:numId w:val="14"/>
        </w:numPr>
        <w:jc w:val="both"/>
      </w:pPr>
      <w:r>
        <w:rPr>
          <w:rFonts w:ascii="Arial" w:hAnsi="Arial" w:cs="Arial"/>
          <w:b/>
          <w:sz w:val="22"/>
          <w:szCs w:val="22"/>
        </w:rPr>
        <w:t xml:space="preserve">76 obras producidas </w:t>
      </w:r>
      <w:r>
        <w:rPr>
          <w:rFonts w:ascii="Arial" w:hAnsi="Arial" w:cs="Arial"/>
          <w:sz w:val="22"/>
          <w:szCs w:val="22"/>
        </w:rPr>
        <w:t xml:space="preserve">entre nuevas y reimpresiones (100%). </w:t>
      </w:r>
    </w:p>
    <w:p w:rsidR="00F87902" w:rsidRDefault="00F87902">
      <w:pPr>
        <w:ind w:left="1068"/>
        <w:jc w:val="both"/>
        <w:rPr>
          <w:rFonts w:ascii="Arial" w:hAnsi="Arial" w:cs="Arial"/>
          <w:sz w:val="22"/>
          <w:szCs w:val="22"/>
        </w:rPr>
      </w:pPr>
    </w:p>
    <w:p w:rsidR="00F87902" w:rsidRDefault="00A519F9">
      <w:pPr>
        <w:numPr>
          <w:ilvl w:val="0"/>
          <w:numId w:val="14"/>
        </w:numPr>
        <w:jc w:val="both"/>
        <w:rPr>
          <w:rFonts w:ascii="Arial" w:hAnsi="Arial" w:cs="Arial"/>
          <w:sz w:val="22"/>
          <w:szCs w:val="22"/>
        </w:rPr>
      </w:pPr>
      <w:r>
        <w:rPr>
          <w:rFonts w:ascii="Arial" w:hAnsi="Arial" w:cs="Arial"/>
          <w:b/>
          <w:sz w:val="22"/>
          <w:szCs w:val="22"/>
        </w:rPr>
        <w:t xml:space="preserve">5 estrategias de colaboración editorial </w:t>
      </w:r>
      <w:r>
        <w:rPr>
          <w:rFonts w:ascii="Arial" w:hAnsi="Arial" w:cs="Arial"/>
          <w:sz w:val="22"/>
          <w:szCs w:val="22"/>
        </w:rPr>
        <w:t xml:space="preserve">con entidades públicas o privadas externas a la institución: 4 vínculos estratégicos con Asociación Cámara Costarricense del Libro, </w:t>
      </w:r>
      <w:r>
        <w:rPr>
          <w:rFonts w:ascii="Arial" w:hAnsi="Arial" w:cs="Arial"/>
          <w:i/>
          <w:sz w:val="22"/>
          <w:szCs w:val="22"/>
        </w:rPr>
        <w:t xml:space="preserve">Edupuc,Seduca, Eulac; </w:t>
      </w:r>
      <w:r>
        <w:rPr>
          <w:rFonts w:ascii="Arial" w:hAnsi="Arial" w:cs="Arial"/>
          <w:sz w:val="22"/>
          <w:szCs w:val="22"/>
        </w:rPr>
        <w:t>en gestión un convenio de cooperación con el Teatro Nacional para gestionar editorialmente la colección 120 años del Teatro Nacional (100%).         5</w:t>
      </w:r>
    </w:p>
    <w:p w:rsidR="00F87902" w:rsidRDefault="00A519F9">
      <w:pPr>
        <w:numPr>
          <w:ilvl w:val="0"/>
          <w:numId w:val="14"/>
        </w:numPr>
        <w:jc w:val="both"/>
      </w:pPr>
      <w:r>
        <w:rPr>
          <w:rFonts w:ascii="Arial" w:hAnsi="Arial" w:cs="Arial"/>
          <w:b/>
          <w:sz w:val="22"/>
          <w:szCs w:val="22"/>
        </w:rPr>
        <w:t>23 sesiones de trabajo</w:t>
      </w:r>
      <w:r>
        <w:rPr>
          <w:rFonts w:ascii="Arial" w:hAnsi="Arial" w:cs="Arial"/>
          <w:sz w:val="22"/>
          <w:szCs w:val="22"/>
        </w:rPr>
        <w:t xml:space="preserve"> del Consejo Editorial (100%).</w:t>
      </w:r>
    </w:p>
    <w:p w:rsidR="00F87902" w:rsidRDefault="00F87902">
      <w:pPr>
        <w:pStyle w:val="Prrafodelista"/>
        <w:rPr>
          <w:rFonts w:ascii="Arial" w:hAnsi="Arial" w:cs="Arial"/>
          <w:sz w:val="22"/>
          <w:szCs w:val="22"/>
        </w:rPr>
      </w:pPr>
    </w:p>
    <w:p w:rsidR="00F87902" w:rsidRDefault="00A519F9">
      <w:pPr>
        <w:numPr>
          <w:ilvl w:val="0"/>
          <w:numId w:val="14"/>
        </w:numPr>
        <w:jc w:val="both"/>
      </w:pPr>
      <w:r>
        <w:rPr>
          <w:rFonts w:ascii="Arial" w:hAnsi="Arial" w:cs="Arial"/>
          <w:sz w:val="22"/>
          <w:szCs w:val="22"/>
        </w:rPr>
        <w:t xml:space="preserve">Participación en </w:t>
      </w:r>
      <w:r>
        <w:rPr>
          <w:rFonts w:ascii="Arial" w:hAnsi="Arial" w:cs="Arial"/>
          <w:b/>
          <w:sz w:val="22"/>
          <w:szCs w:val="22"/>
        </w:rPr>
        <w:t>2 actividades internacionales</w:t>
      </w:r>
      <w:r>
        <w:rPr>
          <w:rFonts w:ascii="Arial" w:hAnsi="Arial" w:cs="Arial"/>
          <w:sz w:val="22"/>
          <w:szCs w:val="22"/>
        </w:rPr>
        <w:t xml:space="preserve">: la Presidencia del Consejo Editorial participó en la XI reunión de </w:t>
      </w:r>
      <w:r>
        <w:rPr>
          <w:rFonts w:ascii="Arial" w:hAnsi="Arial" w:cs="Arial"/>
          <w:i/>
          <w:sz w:val="22"/>
          <w:szCs w:val="22"/>
        </w:rPr>
        <w:t>Seduca</w:t>
      </w:r>
      <w:r>
        <w:rPr>
          <w:rFonts w:ascii="Arial" w:hAnsi="Arial" w:cs="Arial"/>
          <w:sz w:val="22"/>
          <w:szCs w:val="22"/>
        </w:rPr>
        <w:t xml:space="preserve">, y presencia de EUNA en la Feria Internacional del Libro, Guadalajara 2015 (100%). </w:t>
      </w:r>
    </w:p>
    <w:p w:rsidR="00F87902" w:rsidRDefault="00F87902">
      <w:pPr>
        <w:ind w:left="1068"/>
        <w:jc w:val="both"/>
        <w:rPr>
          <w:rFonts w:ascii="Arial" w:hAnsi="Arial" w:cs="Arial"/>
          <w:sz w:val="22"/>
          <w:szCs w:val="22"/>
        </w:rPr>
      </w:pPr>
    </w:p>
    <w:p w:rsidR="00F87902" w:rsidRDefault="00A519F9">
      <w:pPr>
        <w:numPr>
          <w:ilvl w:val="0"/>
          <w:numId w:val="26"/>
        </w:numPr>
        <w:jc w:val="both"/>
      </w:pPr>
      <w:r>
        <w:rPr>
          <w:rFonts w:ascii="Arial" w:hAnsi="Arial" w:cs="Arial"/>
          <w:b/>
          <w:sz w:val="22"/>
          <w:szCs w:val="22"/>
        </w:rPr>
        <w:t xml:space="preserve">Participación en 16 ferias </w:t>
      </w:r>
      <w:r>
        <w:rPr>
          <w:rFonts w:ascii="Arial" w:hAnsi="Arial" w:cs="Arial"/>
          <w:sz w:val="22"/>
          <w:szCs w:val="22"/>
        </w:rPr>
        <w:t xml:space="preserve">del libro y afines (80%). </w:t>
      </w:r>
    </w:p>
    <w:p w:rsidR="00F87902" w:rsidRDefault="00A519F9">
      <w:pPr>
        <w:numPr>
          <w:ilvl w:val="0"/>
          <w:numId w:val="26"/>
        </w:numPr>
        <w:jc w:val="both"/>
        <w:rPr>
          <w:rFonts w:ascii="Arial" w:hAnsi="Arial" w:cs="Arial"/>
          <w:sz w:val="22"/>
          <w:szCs w:val="22"/>
        </w:rPr>
      </w:pPr>
      <w:r>
        <w:rPr>
          <w:rFonts w:ascii="Arial" w:hAnsi="Arial" w:cs="Arial"/>
          <w:b/>
          <w:sz w:val="22"/>
          <w:szCs w:val="22"/>
        </w:rPr>
        <w:lastRenderedPageBreak/>
        <w:t xml:space="preserve">Participación en la Feria Itinerante </w:t>
      </w:r>
      <w:r>
        <w:rPr>
          <w:rFonts w:ascii="Arial" w:hAnsi="Arial" w:cs="Arial"/>
          <w:sz w:val="22"/>
          <w:szCs w:val="22"/>
        </w:rPr>
        <w:t>organizada por la Comisión de Editoriales Universitarias Públicas Costarricense (</w:t>
      </w:r>
      <w:r>
        <w:rPr>
          <w:rFonts w:ascii="Arial" w:hAnsi="Arial" w:cs="Arial"/>
          <w:i/>
          <w:sz w:val="22"/>
          <w:szCs w:val="22"/>
        </w:rPr>
        <w:t>Edupuc</w:t>
      </w:r>
      <w:r>
        <w:rPr>
          <w:rFonts w:ascii="Arial" w:hAnsi="Arial" w:cs="Arial"/>
          <w:sz w:val="22"/>
          <w:szCs w:val="22"/>
        </w:rPr>
        <w:t xml:space="preserve">), realizada en la sede la Universidad de Costa Rica en Limón (50%).    </w:t>
      </w:r>
    </w:p>
    <w:p w:rsidR="00F87902" w:rsidRDefault="00F87902">
      <w:pPr>
        <w:pStyle w:val="Prrafodelista"/>
        <w:rPr>
          <w:rFonts w:ascii="Arial" w:hAnsi="Arial" w:cs="Arial"/>
          <w:sz w:val="22"/>
          <w:szCs w:val="22"/>
        </w:rPr>
      </w:pPr>
    </w:p>
    <w:p w:rsidR="00F87902" w:rsidRDefault="00A519F9">
      <w:pPr>
        <w:numPr>
          <w:ilvl w:val="0"/>
          <w:numId w:val="26"/>
        </w:numPr>
        <w:jc w:val="both"/>
      </w:pPr>
      <w:r>
        <w:rPr>
          <w:rFonts w:ascii="Arial" w:hAnsi="Arial" w:cs="Arial"/>
          <w:b/>
          <w:sz w:val="22"/>
          <w:szCs w:val="22"/>
        </w:rPr>
        <w:t>4 documentos revisados</w:t>
      </w:r>
      <w:r>
        <w:rPr>
          <w:rFonts w:ascii="Arial" w:hAnsi="Arial" w:cs="Arial"/>
          <w:sz w:val="22"/>
          <w:szCs w:val="22"/>
        </w:rPr>
        <w:t>: revisión completa de las políticas editoriales, audiencias ante el Consejo Universitario sobre Reglamento EUNA, publicación del reglamento en UNA-Gaceta con las validaciones respecto del nuevo Estatuto Orgánico, trabajo en comisión especial ad-hoc de órganos desconcentrados revisando y congeniando procesos y constitución del órgano (100%).</w:t>
      </w:r>
    </w:p>
    <w:p w:rsidR="00F87902" w:rsidRDefault="00F87902">
      <w:pPr>
        <w:pStyle w:val="Prrafodelista"/>
        <w:rPr>
          <w:rFonts w:ascii="Arial" w:hAnsi="Arial" w:cs="Arial"/>
          <w:sz w:val="22"/>
          <w:szCs w:val="22"/>
        </w:rPr>
      </w:pPr>
    </w:p>
    <w:p w:rsidR="00F87902" w:rsidRDefault="00A519F9">
      <w:pPr>
        <w:numPr>
          <w:ilvl w:val="0"/>
          <w:numId w:val="26"/>
        </w:numPr>
        <w:jc w:val="both"/>
      </w:pPr>
      <w:r>
        <w:rPr>
          <w:rFonts w:ascii="Arial" w:hAnsi="Arial" w:cs="Arial"/>
          <w:b/>
          <w:sz w:val="22"/>
          <w:szCs w:val="22"/>
        </w:rPr>
        <w:t>1 feria internacional del libro</w:t>
      </w:r>
      <w:r>
        <w:rPr>
          <w:rFonts w:ascii="Arial" w:hAnsi="Arial" w:cs="Arial"/>
          <w:sz w:val="22"/>
          <w:szCs w:val="22"/>
        </w:rPr>
        <w:t xml:space="preserve"> universitario organizada en conjunto con la Vicerrectoría de Extensión (II Feria internacional del libro universitario, FILU 2015), realizada en el mes de marzo (100%).</w:t>
      </w:r>
    </w:p>
    <w:p w:rsidR="00F87902" w:rsidRDefault="00F87902">
      <w:pPr>
        <w:pStyle w:val="Prrafodelista"/>
        <w:rPr>
          <w:rFonts w:ascii="Arial" w:hAnsi="Arial" w:cs="Arial"/>
          <w:sz w:val="22"/>
          <w:szCs w:val="22"/>
        </w:rPr>
      </w:pPr>
    </w:p>
    <w:p w:rsidR="00F87902" w:rsidRDefault="00A519F9">
      <w:pPr>
        <w:numPr>
          <w:ilvl w:val="0"/>
          <w:numId w:val="26"/>
        </w:numPr>
        <w:jc w:val="both"/>
        <w:rPr>
          <w:rFonts w:ascii="Arial" w:hAnsi="Arial" w:cs="Arial"/>
          <w:sz w:val="22"/>
          <w:szCs w:val="22"/>
        </w:rPr>
      </w:pPr>
      <w:r>
        <w:rPr>
          <w:rFonts w:ascii="Arial" w:hAnsi="Arial" w:cs="Arial"/>
          <w:b/>
          <w:sz w:val="22"/>
          <w:szCs w:val="22"/>
        </w:rPr>
        <w:t>40% de logro</w:t>
      </w:r>
      <w:r>
        <w:rPr>
          <w:rFonts w:ascii="Arial" w:hAnsi="Arial" w:cs="Arial"/>
          <w:sz w:val="22"/>
          <w:szCs w:val="22"/>
        </w:rPr>
        <w:t xml:space="preserve"> en el establecimiento de un contrato o convenio con una empresa encargada de una plataforma para la agregación de contenidos digitales. </w:t>
      </w:r>
    </w:p>
    <w:p w:rsidR="00F87902" w:rsidRDefault="00F87902">
      <w:pPr>
        <w:pStyle w:val="Prrafodelista"/>
        <w:rPr>
          <w:rFonts w:ascii="Arial" w:hAnsi="Arial" w:cs="Arial"/>
          <w:sz w:val="22"/>
          <w:szCs w:val="22"/>
        </w:rPr>
      </w:pPr>
    </w:p>
    <w:p w:rsidR="00F87902" w:rsidRDefault="00A519F9">
      <w:pPr>
        <w:numPr>
          <w:ilvl w:val="0"/>
          <w:numId w:val="26"/>
        </w:numPr>
        <w:jc w:val="both"/>
      </w:pPr>
      <w:r>
        <w:rPr>
          <w:rFonts w:ascii="Arial" w:hAnsi="Arial" w:cs="Arial"/>
          <w:b/>
          <w:sz w:val="22"/>
          <w:szCs w:val="22"/>
        </w:rPr>
        <w:t>1 estrategia</w:t>
      </w:r>
      <w:r>
        <w:rPr>
          <w:rFonts w:ascii="Arial" w:hAnsi="Arial" w:cs="Arial"/>
          <w:sz w:val="22"/>
          <w:szCs w:val="22"/>
        </w:rPr>
        <w:t xml:space="preserve"> con el Programa de Publicaciones e Impresiones en el marco de la conversión de obras impresas a formato electrónico, en cuyo contexto se cuenta ya con dos obras convertidas a dicho formato (100%).</w:t>
      </w:r>
    </w:p>
    <w:p w:rsidR="00F87902" w:rsidRDefault="00F87902">
      <w:pPr>
        <w:pStyle w:val="Prrafodelista"/>
        <w:rPr>
          <w:rFonts w:ascii="Arial" w:hAnsi="Arial" w:cs="Arial"/>
          <w:sz w:val="22"/>
          <w:szCs w:val="22"/>
        </w:rPr>
      </w:pPr>
    </w:p>
    <w:p w:rsidR="00F87902" w:rsidRDefault="00A519F9">
      <w:pPr>
        <w:numPr>
          <w:ilvl w:val="0"/>
          <w:numId w:val="26"/>
        </w:numPr>
        <w:jc w:val="both"/>
      </w:pPr>
      <w:r>
        <w:rPr>
          <w:rFonts w:ascii="Arial" w:hAnsi="Arial" w:cs="Arial"/>
          <w:b/>
          <w:sz w:val="22"/>
          <w:szCs w:val="22"/>
        </w:rPr>
        <w:t>100% de logro</w:t>
      </w:r>
      <w:r>
        <w:rPr>
          <w:rFonts w:ascii="Arial" w:hAnsi="Arial" w:cs="Arial"/>
          <w:sz w:val="22"/>
          <w:szCs w:val="22"/>
        </w:rPr>
        <w:t xml:space="preserve"> en la consolidación de un sistema de información gerencial (</w:t>
      </w:r>
      <w:r>
        <w:rPr>
          <w:rFonts w:ascii="Arial" w:hAnsi="Arial" w:cs="Arial"/>
          <w:i/>
          <w:sz w:val="22"/>
          <w:szCs w:val="22"/>
        </w:rPr>
        <w:t>Sieuna</w:t>
      </w:r>
      <w:r>
        <w:rPr>
          <w:rFonts w:ascii="Arial" w:hAnsi="Arial" w:cs="Arial"/>
          <w:sz w:val="22"/>
          <w:szCs w:val="22"/>
        </w:rPr>
        <w:t>) que coadyuve a agilizar los procesos de gestión editorial: etapa final del desarrollo del sistema.</w:t>
      </w:r>
    </w:p>
    <w:p w:rsidR="00F87902" w:rsidRDefault="00F87902">
      <w:pPr>
        <w:pStyle w:val="Prrafodelista"/>
        <w:rPr>
          <w:rFonts w:ascii="Arial" w:hAnsi="Arial" w:cs="Arial"/>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Publicaciones e impresiones.</w:t>
      </w:r>
    </w:p>
    <w:p w:rsidR="00F87902" w:rsidRDefault="00F87902">
      <w:pPr>
        <w:ind w:left="708"/>
        <w:jc w:val="both"/>
        <w:rPr>
          <w:rFonts w:ascii="Arial" w:hAnsi="Arial" w:cs="Arial"/>
          <w:b/>
          <w:i/>
          <w:sz w:val="22"/>
          <w:szCs w:val="22"/>
        </w:rPr>
      </w:pPr>
    </w:p>
    <w:p w:rsidR="00F87902" w:rsidRDefault="00A519F9">
      <w:pPr>
        <w:numPr>
          <w:ilvl w:val="0"/>
          <w:numId w:val="13"/>
        </w:numPr>
        <w:jc w:val="both"/>
      </w:pPr>
      <w:r>
        <w:rPr>
          <w:rFonts w:ascii="Arial" w:hAnsi="Arial" w:cs="Arial"/>
          <w:b/>
          <w:sz w:val="22"/>
          <w:szCs w:val="22"/>
        </w:rPr>
        <w:t>6 acciones de mejora</w:t>
      </w:r>
      <w:r>
        <w:rPr>
          <w:rFonts w:ascii="Arial" w:hAnsi="Arial" w:cs="Arial"/>
          <w:sz w:val="22"/>
          <w:szCs w:val="22"/>
        </w:rPr>
        <w:t xml:space="preserve"> en el Programa de Publicaciones, enfocadas a la calidad: adquisición de estampadora, adquisición de las licencias de </w:t>
      </w:r>
      <w:r>
        <w:rPr>
          <w:rFonts w:ascii="Arial" w:hAnsi="Arial" w:cs="Arial"/>
          <w:i/>
          <w:sz w:val="22"/>
          <w:szCs w:val="22"/>
        </w:rPr>
        <w:t>software</w:t>
      </w:r>
      <w:r>
        <w:rPr>
          <w:rFonts w:ascii="Arial" w:hAnsi="Arial" w:cs="Arial"/>
          <w:sz w:val="22"/>
          <w:szCs w:val="22"/>
        </w:rPr>
        <w:t>, adquisición de máquinas iMAC, superación de la meta de productos digitales (75%).</w:t>
      </w:r>
    </w:p>
    <w:p w:rsidR="00F87902" w:rsidRDefault="00F87902">
      <w:pPr>
        <w:pStyle w:val="Prrafodelista"/>
        <w:rPr>
          <w:rFonts w:ascii="Arial" w:hAnsi="Arial" w:cs="Arial"/>
          <w:sz w:val="22"/>
          <w:szCs w:val="22"/>
        </w:rPr>
      </w:pPr>
    </w:p>
    <w:p w:rsidR="00F87902" w:rsidRDefault="00A519F9">
      <w:pPr>
        <w:numPr>
          <w:ilvl w:val="0"/>
          <w:numId w:val="13"/>
        </w:numPr>
        <w:jc w:val="both"/>
      </w:pPr>
      <w:r>
        <w:rPr>
          <w:rFonts w:ascii="Arial" w:hAnsi="Arial" w:cs="Arial"/>
          <w:b/>
          <w:sz w:val="22"/>
          <w:szCs w:val="22"/>
        </w:rPr>
        <w:t xml:space="preserve">1.115 solicitudes de impresión </w:t>
      </w:r>
      <w:r>
        <w:rPr>
          <w:rFonts w:ascii="Arial" w:hAnsi="Arial" w:cs="Arial"/>
          <w:sz w:val="22"/>
          <w:szCs w:val="22"/>
        </w:rPr>
        <w:t>atendidas (88%).</w:t>
      </w:r>
    </w:p>
    <w:p w:rsidR="00F87902" w:rsidRDefault="00F87902">
      <w:pPr>
        <w:pStyle w:val="Prrafodelista"/>
        <w:rPr>
          <w:rFonts w:ascii="Arial" w:hAnsi="Arial" w:cs="Arial"/>
          <w:sz w:val="22"/>
          <w:szCs w:val="22"/>
        </w:rPr>
      </w:pPr>
    </w:p>
    <w:p w:rsidR="00F87902" w:rsidRDefault="00A519F9">
      <w:pPr>
        <w:numPr>
          <w:ilvl w:val="0"/>
          <w:numId w:val="13"/>
        </w:numPr>
        <w:jc w:val="both"/>
        <w:rPr>
          <w:rFonts w:ascii="Arial" w:hAnsi="Arial" w:cs="Arial"/>
          <w:sz w:val="22"/>
          <w:szCs w:val="22"/>
        </w:rPr>
      </w:pPr>
      <w:r>
        <w:rPr>
          <w:rFonts w:ascii="Arial" w:hAnsi="Arial" w:cs="Arial"/>
          <w:b/>
          <w:sz w:val="22"/>
          <w:szCs w:val="22"/>
        </w:rPr>
        <w:t>3 etapas de diagnóstico</w:t>
      </w:r>
      <w:r>
        <w:rPr>
          <w:rFonts w:ascii="Arial" w:hAnsi="Arial" w:cs="Arial"/>
          <w:sz w:val="22"/>
          <w:szCs w:val="22"/>
        </w:rPr>
        <w:t xml:space="preserve"> de la reorganización del PPI: análisis de marco estratégico, análisis de funcionamiento y procesos, análisis estructural (42%).</w:t>
      </w:r>
    </w:p>
    <w:p w:rsidR="00F87902" w:rsidRDefault="00F87902">
      <w:pPr>
        <w:pStyle w:val="Prrafodelista"/>
        <w:rPr>
          <w:rFonts w:ascii="Arial" w:eastAsia="Times New Roman" w:hAnsi="Arial" w:cs="Arial"/>
          <w:b/>
          <w:i/>
          <w:color w:val="E36C0A" w:themeColor="accent6" w:themeShade="BF"/>
          <w:sz w:val="22"/>
          <w:szCs w:val="22"/>
        </w:rPr>
      </w:pPr>
    </w:p>
    <w:p w:rsidR="00F87902" w:rsidRDefault="00A519F9">
      <w:pPr>
        <w:numPr>
          <w:ilvl w:val="0"/>
          <w:numId w:val="13"/>
        </w:numPr>
        <w:jc w:val="both"/>
      </w:pPr>
      <w:r>
        <w:rPr>
          <w:rFonts w:ascii="Arial" w:hAnsi="Arial" w:cs="Arial"/>
          <w:b/>
          <w:sz w:val="22"/>
          <w:szCs w:val="22"/>
        </w:rPr>
        <w:t>1 proyecto</w:t>
      </w:r>
      <w:r>
        <w:rPr>
          <w:rFonts w:ascii="Arial" w:hAnsi="Arial" w:cs="Arial"/>
          <w:sz w:val="22"/>
          <w:szCs w:val="22"/>
        </w:rPr>
        <w:t xml:space="preserve"> de mejoramiento en la sede regional Brunca: donación a la sede de una dobladora para agilizar el proceso de doblez de </w:t>
      </w:r>
      <w:r>
        <w:rPr>
          <w:rFonts w:ascii="Arial" w:hAnsi="Arial" w:cs="Arial"/>
          <w:i/>
          <w:sz w:val="22"/>
          <w:szCs w:val="22"/>
        </w:rPr>
        <w:t>brochure</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13"/>
        </w:numPr>
        <w:jc w:val="both"/>
      </w:pPr>
      <w:r>
        <w:rPr>
          <w:rFonts w:ascii="Arial" w:hAnsi="Arial" w:cs="Arial"/>
          <w:b/>
          <w:sz w:val="22"/>
          <w:szCs w:val="22"/>
        </w:rPr>
        <w:t>4 informes</w:t>
      </w:r>
      <w:r>
        <w:rPr>
          <w:rFonts w:ascii="Arial" w:hAnsi="Arial" w:cs="Arial"/>
          <w:sz w:val="22"/>
          <w:szCs w:val="22"/>
        </w:rPr>
        <w:t xml:space="preserve"> de rendición de cuentas (80%). </w:t>
      </w:r>
    </w:p>
    <w:p w:rsidR="00F87902" w:rsidRDefault="00F87902">
      <w:pPr>
        <w:jc w:val="both"/>
        <w:rPr>
          <w:rFonts w:ascii="Arial" w:hAnsi="Arial" w:cs="Arial"/>
          <w:sz w:val="22"/>
          <w:szCs w:val="22"/>
        </w:rPr>
      </w:pP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3.4. Otorgar 780 becas y ayudas a funcionarios –760 para capacitación en eventos cortos y 20 becas de posgrado– para actualizar y mejorar su perfil profesional.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lastRenderedPageBreak/>
        <w:t xml:space="preserve">Las actividades desarrolladas en el ámbito de esta meta (778) conforman un cumplimiento del </w:t>
      </w:r>
      <w:r>
        <w:rPr>
          <w:rFonts w:ascii="Arial" w:hAnsi="Arial" w:cs="Arial"/>
          <w:b/>
          <w:sz w:val="22"/>
          <w:szCs w:val="22"/>
        </w:rPr>
        <w:t>99,7%</w:t>
      </w:r>
      <w:r>
        <w:rPr>
          <w:rFonts w:ascii="Arial" w:hAnsi="Arial" w:cs="Arial"/>
          <w:sz w:val="22"/>
          <w:szCs w:val="22"/>
        </w:rPr>
        <w:t xml:space="preserve">  durante el periodo de enero a diciembre del 2015, según detalle:</w:t>
      </w:r>
    </w:p>
    <w:p w:rsidR="00F87902" w:rsidRDefault="00F87902">
      <w:pPr>
        <w:pStyle w:val="Prrafodelista"/>
        <w:rPr>
          <w:rFonts w:ascii="Arial" w:hAnsi="Arial" w:cs="Arial"/>
          <w:b/>
          <w:i/>
          <w:sz w:val="22"/>
          <w:szCs w:val="22"/>
        </w:rPr>
      </w:pPr>
    </w:p>
    <w:p w:rsidR="00F87902" w:rsidRDefault="00A519F9">
      <w:pPr>
        <w:pStyle w:val="Prrafodelista"/>
        <w:rPr>
          <w:rFonts w:ascii="Arial" w:hAnsi="Arial" w:cs="Arial"/>
          <w:b/>
          <w:i/>
          <w:sz w:val="22"/>
          <w:szCs w:val="22"/>
        </w:rPr>
      </w:pPr>
      <w:r>
        <w:rPr>
          <w:rFonts w:ascii="Arial" w:hAnsi="Arial" w:cs="Arial"/>
          <w:b/>
          <w:i/>
          <w:sz w:val="22"/>
          <w:szCs w:val="22"/>
        </w:rPr>
        <w:t xml:space="preserve">Junta de Becas.       </w:t>
      </w:r>
    </w:p>
    <w:p w:rsidR="00F87902" w:rsidRDefault="00F87902">
      <w:pPr>
        <w:pStyle w:val="Prrafodelista"/>
        <w:rPr>
          <w:rFonts w:ascii="Arial" w:hAnsi="Arial" w:cs="Arial"/>
          <w:b/>
          <w:i/>
          <w:sz w:val="22"/>
          <w:szCs w:val="22"/>
        </w:rPr>
      </w:pPr>
    </w:p>
    <w:p w:rsidR="00F87902" w:rsidRDefault="00A519F9">
      <w:pPr>
        <w:pStyle w:val="Prrafodelista"/>
        <w:numPr>
          <w:ilvl w:val="0"/>
          <w:numId w:val="5"/>
        </w:numPr>
        <w:rPr>
          <w:rFonts w:ascii="Arial" w:hAnsi="Arial" w:cs="Arial"/>
          <w:sz w:val="22"/>
          <w:szCs w:val="22"/>
        </w:rPr>
      </w:pPr>
      <w:r>
        <w:rPr>
          <w:rFonts w:ascii="Arial" w:hAnsi="Arial" w:cs="Arial"/>
          <w:b/>
          <w:sz w:val="22"/>
          <w:szCs w:val="22"/>
        </w:rPr>
        <w:t>756 solicitudes de capacitación</w:t>
      </w:r>
      <w:r>
        <w:rPr>
          <w:rFonts w:ascii="Arial" w:hAnsi="Arial" w:cs="Arial"/>
          <w:sz w:val="22"/>
          <w:szCs w:val="22"/>
        </w:rPr>
        <w:t xml:space="preserve"> de eventos cortos para funcionarios universitarios: 463 para eventos nacionales y 293 para eventos internacionales (52%); </w:t>
      </w:r>
      <w:r>
        <w:rPr>
          <w:rFonts w:ascii="Arial" w:hAnsi="Arial" w:cs="Arial"/>
          <w:b/>
          <w:sz w:val="22"/>
          <w:szCs w:val="22"/>
        </w:rPr>
        <w:t>22 becas de posgrado</w:t>
      </w:r>
      <w:r>
        <w:rPr>
          <w:rFonts w:ascii="Arial" w:hAnsi="Arial" w:cs="Arial"/>
          <w:sz w:val="22"/>
          <w:szCs w:val="22"/>
        </w:rPr>
        <w:t xml:space="preserve"> atendidas: 4 de maestría en el ámbito internacional, 3 maestrías nacionales y 15 doctorados (3 nacionales y 12 internacionales), 100%.</w:t>
      </w:r>
    </w:p>
    <w:p w:rsidR="00F87902" w:rsidRDefault="00F87902">
      <w:pPr>
        <w:pStyle w:val="Prrafodelista"/>
        <w:ind w:left="1495"/>
        <w:rPr>
          <w:rFonts w:ascii="Arial" w:hAnsi="Arial" w:cs="Arial"/>
          <w:sz w:val="22"/>
          <w:szCs w:val="22"/>
        </w:rPr>
      </w:pPr>
    </w:p>
    <w:p w:rsidR="00F87902" w:rsidRDefault="00A519F9">
      <w:pPr>
        <w:pStyle w:val="Prrafodelista"/>
        <w:ind w:left="2124"/>
        <w:rPr>
          <w:rFonts w:ascii="Arial" w:hAnsi="Arial" w:cs="Arial"/>
          <w:i/>
          <w:sz w:val="22"/>
          <w:szCs w:val="22"/>
        </w:rPr>
      </w:pPr>
      <w:r>
        <w:rPr>
          <w:rFonts w:ascii="Arial" w:hAnsi="Arial" w:cs="Arial"/>
          <w:i/>
          <w:sz w:val="22"/>
          <w:szCs w:val="22"/>
        </w:rPr>
        <w:t>La baja ejecución de recursos asociados con esta meta (74,5%) se deriva de haber ejecutado, a la fecha de corte de este informe, solamente 766 millones de colones, de los 1.044 millones asignados para becas y ayudas a funcionarios; debido principalmente a que en su lugar se han utilizado fondos provenientes del préstamo Gobierno de la República-Banco Mundial asignados a la Universidad para financiar las becas de posgrado, así como las participaciones en eventos internacionales.</w:t>
      </w: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i/>
          <w:sz w:val="22"/>
          <w:szCs w:val="22"/>
        </w:rPr>
      </w:pPr>
      <w:r>
        <w:rPr>
          <w:rFonts w:ascii="Arial" w:hAnsi="Arial" w:cs="Arial"/>
          <w:b/>
        </w:rPr>
        <w:t xml:space="preserve">Meta 3.5. Apoyar a 48 laboratorios de la Universidad para garantizar condiciones de seguridad en su operación.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Las actividades desarrolladas en el ámbito de esta meta (48) conforman un cumplimiento del  </w:t>
      </w:r>
      <w:r>
        <w:rPr>
          <w:rFonts w:ascii="Arial" w:hAnsi="Arial" w:cs="Arial"/>
          <w:b/>
          <w:sz w:val="22"/>
          <w:szCs w:val="22"/>
        </w:rPr>
        <w:t>100%</w:t>
      </w:r>
      <w:r>
        <w:rPr>
          <w:rFonts w:ascii="Arial" w:hAnsi="Arial" w:cs="Arial"/>
          <w:sz w:val="22"/>
          <w:szCs w:val="22"/>
        </w:rPr>
        <w:t xml:space="preserve"> durante el año</w:t>
      </w:r>
      <w:r w:rsidR="00654970">
        <w:rPr>
          <w:rFonts w:ascii="Arial" w:hAnsi="Arial" w:cs="Arial"/>
          <w:sz w:val="22"/>
          <w:szCs w:val="22"/>
        </w:rPr>
        <w:t>, según detalle</w:t>
      </w:r>
      <w:r>
        <w:rPr>
          <w:rFonts w:ascii="Arial" w:hAnsi="Arial" w:cs="Arial"/>
          <w:sz w:val="22"/>
          <w:szCs w:val="22"/>
        </w:rPr>
        <w:t>:</w:t>
      </w:r>
    </w:p>
    <w:p w:rsidR="00F87902" w:rsidRDefault="00F87902">
      <w:pPr>
        <w:spacing w:line="360" w:lineRule="auto"/>
        <w:ind w:left="708"/>
        <w:jc w:val="both"/>
        <w:rPr>
          <w:rFonts w:ascii="Arial" w:hAnsi="Arial" w:cs="Arial"/>
          <w:b/>
        </w:rPr>
      </w:pPr>
    </w:p>
    <w:p w:rsidR="00F87902" w:rsidRDefault="00A519F9">
      <w:pPr>
        <w:numPr>
          <w:ilvl w:val="0"/>
          <w:numId w:val="5"/>
        </w:numPr>
        <w:ind w:left="1068"/>
        <w:jc w:val="both"/>
        <w:rPr>
          <w:rFonts w:ascii="Arial" w:hAnsi="Arial" w:cs="Arial"/>
          <w:sz w:val="22"/>
          <w:szCs w:val="22"/>
        </w:rPr>
      </w:pPr>
      <w:r>
        <w:rPr>
          <w:rFonts w:ascii="Arial" w:hAnsi="Arial" w:cs="Arial"/>
          <w:b/>
          <w:sz w:val="22"/>
          <w:szCs w:val="22"/>
        </w:rPr>
        <w:t xml:space="preserve">8 laboratorios integrados </w:t>
      </w:r>
      <w:r>
        <w:rPr>
          <w:rFonts w:ascii="Arial" w:hAnsi="Arial" w:cs="Arial"/>
          <w:sz w:val="22"/>
          <w:szCs w:val="22"/>
        </w:rPr>
        <w:t xml:space="preserve">en la comisión de acreditación de la Universidad Nacional (100%). </w:t>
      </w:r>
    </w:p>
    <w:p w:rsidR="00F87902" w:rsidRDefault="00F87902">
      <w:pPr>
        <w:ind w:left="1068"/>
        <w:jc w:val="both"/>
        <w:rPr>
          <w:rFonts w:ascii="Arial" w:hAnsi="Arial" w:cs="Arial"/>
          <w:sz w:val="22"/>
          <w:szCs w:val="22"/>
        </w:rPr>
      </w:pPr>
    </w:p>
    <w:p w:rsidR="00F87902" w:rsidRDefault="00A519F9">
      <w:pPr>
        <w:numPr>
          <w:ilvl w:val="0"/>
          <w:numId w:val="5"/>
        </w:numPr>
        <w:ind w:left="1068"/>
        <w:jc w:val="both"/>
        <w:rPr>
          <w:rFonts w:ascii="Arial" w:hAnsi="Arial" w:cs="Arial"/>
          <w:sz w:val="22"/>
          <w:szCs w:val="22"/>
        </w:rPr>
      </w:pPr>
      <w:r>
        <w:rPr>
          <w:rFonts w:ascii="Arial" w:hAnsi="Arial" w:cs="Arial"/>
          <w:b/>
          <w:sz w:val="22"/>
          <w:szCs w:val="22"/>
        </w:rPr>
        <w:t xml:space="preserve">80% de avance </w:t>
      </w:r>
      <w:r>
        <w:rPr>
          <w:rFonts w:ascii="Arial" w:hAnsi="Arial" w:cs="Arial"/>
          <w:sz w:val="22"/>
          <w:szCs w:val="22"/>
        </w:rPr>
        <w:t>en la realización de los planes de gestión (salud ocupacional, gestión de riesgo, desecho) de las unidades académicas (Biología, Química, Ciencias Agrarias, Física y Ovsicori).</w:t>
      </w:r>
    </w:p>
    <w:p w:rsidR="00F87902" w:rsidRDefault="00F87902">
      <w:pPr>
        <w:pStyle w:val="Prrafodelista"/>
        <w:rPr>
          <w:rFonts w:ascii="Arial" w:hAnsi="Arial" w:cs="Arial"/>
          <w:sz w:val="22"/>
          <w:szCs w:val="22"/>
        </w:rPr>
      </w:pPr>
    </w:p>
    <w:p w:rsidR="00F87902" w:rsidRDefault="00A519F9">
      <w:pPr>
        <w:numPr>
          <w:ilvl w:val="0"/>
          <w:numId w:val="5"/>
        </w:numPr>
        <w:ind w:left="1068"/>
        <w:jc w:val="both"/>
        <w:rPr>
          <w:rFonts w:ascii="Arial" w:hAnsi="Arial" w:cs="Arial"/>
          <w:sz w:val="22"/>
          <w:szCs w:val="22"/>
        </w:rPr>
      </w:pPr>
      <w:r>
        <w:rPr>
          <w:rFonts w:ascii="Arial" w:hAnsi="Arial" w:cs="Arial"/>
          <w:b/>
          <w:sz w:val="22"/>
          <w:szCs w:val="22"/>
        </w:rPr>
        <w:t>52 laboratorios</w:t>
      </w:r>
      <w:r>
        <w:rPr>
          <w:rFonts w:ascii="Arial" w:hAnsi="Arial" w:cs="Arial"/>
          <w:sz w:val="22"/>
          <w:szCs w:val="22"/>
        </w:rPr>
        <w:t xml:space="preserve"> inscritos en el SIA (100%).</w:t>
      </w:r>
    </w:p>
    <w:p w:rsidR="00F87902" w:rsidRDefault="00F87902">
      <w:pPr>
        <w:pStyle w:val="Prrafodelista"/>
        <w:rPr>
          <w:rFonts w:ascii="Arial" w:hAnsi="Arial" w:cs="Arial"/>
          <w:sz w:val="22"/>
          <w:szCs w:val="22"/>
        </w:rPr>
      </w:pPr>
    </w:p>
    <w:p w:rsidR="00F87902" w:rsidRDefault="00A519F9">
      <w:pPr>
        <w:numPr>
          <w:ilvl w:val="0"/>
          <w:numId w:val="5"/>
        </w:numPr>
        <w:ind w:left="1068"/>
        <w:jc w:val="both"/>
        <w:rPr>
          <w:rFonts w:ascii="Arial" w:hAnsi="Arial" w:cs="Arial"/>
          <w:sz w:val="22"/>
          <w:szCs w:val="22"/>
        </w:rPr>
      </w:pPr>
      <w:r>
        <w:rPr>
          <w:rFonts w:ascii="Arial" w:hAnsi="Arial" w:cs="Arial"/>
          <w:b/>
          <w:sz w:val="22"/>
          <w:szCs w:val="22"/>
        </w:rPr>
        <w:t>60% de avance</w:t>
      </w:r>
      <w:r>
        <w:rPr>
          <w:rFonts w:ascii="Arial" w:hAnsi="Arial" w:cs="Arial"/>
          <w:sz w:val="22"/>
          <w:szCs w:val="22"/>
        </w:rPr>
        <w:t xml:space="preserve"> en la calibración del equipo de los laboratorios en las facultades de Exactas y Naturales, Ciencias de la Tierra y el Mar, Ciencias de la Salud.   </w:t>
      </w:r>
    </w:p>
    <w:p w:rsidR="00F87902" w:rsidRDefault="00F87902">
      <w:pPr>
        <w:ind w:left="1068"/>
        <w:jc w:val="both"/>
        <w:rPr>
          <w:rFonts w:ascii="Arial" w:hAnsi="Arial" w:cs="Arial"/>
          <w:color w:val="FF0000"/>
          <w:sz w:val="22"/>
          <w:szCs w:val="22"/>
        </w:rPr>
      </w:pPr>
    </w:p>
    <w:p w:rsidR="00F87902" w:rsidRDefault="00F87902">
      <w:pPr>
        <w:ind w:left="708"/>
        <w:jc w:val="both"/>
        <w:rPr>
          <w:rFonts w:ascii="Arial" w:hAnsi="Arial" w:cs="Arial"/>
          <w:sz w:val="22"/>
          <w:szCs w:val="22"/>
        </w:rPr>
      </w:pPr>
    </w:p>
    <w:p w:rsidR="00F87902" w:rsidRDefault="00A519F9">
      <w:pPr>
        <w:ind w:left="708"/>
        <w:jc w:val="both"/>
      </w:pPr>
      <w:r>
        <w:rPr>
          <w:rFonts w:ascii="Arial" w:hAnsi="Arial" w:cs="Arial"/>
          <w:i/>
          <w:sz w:val="22"/>
          <w:szCs w:val="22"/>
        </w:rPr>
        <w:t>La baja ejecución de recursos en esta meta (51,1%) se debe a la existencia de casi 138 millones de colones en compromisos para la compra de equipos de seguridad en laboratorios que serán entregados durante el 2016; los cuales, sumados al porcentaje descrito la elevarían a un 96%.</w:t>
      </w:r>
    </w:p>
    <w:p w:rsidR="00F87902" w:rsidRDefault="00F87902">
      <w:pPr>
        <w:ind w:left="708"/>
        <w:jc w:val="both"/>
        <w:rPr>
          <w:rFonts w:ascii="Arial" w:hAnsi="Arial" w:cs="Arial"/>
          <w:i/>
          <w:sz w:val="22"/>
          <w:szCs w:val="22"/>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6D52EA" w:rsidRDefault="006D52EA">
      <w:pPr>
        <w:jc w:val="center"/>
        <w:rPr>
          <w:rFonts w:ascii="Arial" w:hAnsi="Arial" w:cs="Arial"/>
          <w:b/>
        </w:rPr>
      </w:pPr>
    </w:p>
    <w:p w:rsidR="00F87902" w:rsidRDefault="00A519F9">
      <w:pPr>
        <w:jc w:val="center"/>
        <w:rPr>
          <w:rFonts w:ascii="Arial" w:hAnsi="Arial" w:cs="Arial"/>
        </w:rPr>
      </w:pPr>
      <w:r>
        <w:rPr>
          <w:rFonts w:ascii="Arial" w:hAnsi="Arial" w:cs="Arial"/>
          <w:b/>
        </w:rPr>
        <w:lastRenderedPageBreak/>
        <w:t>CUADRO N° 12</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sz w:val="22"/>
          <w:szCs w:val="22"/>
          <w:u w:val="single"/>
        </w:rPr>
      </w:pPr>
    </w:p>
    <w:tbl>
      <w:tblPr>
        <w:tblW w:w="8720" w:type="dxa"/>
        <w:jc w:val="center"/>
        <w:tblBorders>
          <w:top w:val="single" w:sz="18" w:space="0" w:color="00000A"/>
        </w:tblBorders>
        <w:tblLook w:val="04A0"/>
      </w:tblPr>
      <w:tblGrid>
        <w:gridCol w:w="1413"/>
        <w:gridCol w:w="1394"/>
        <w:gridCol w:w="2440"/>
        <w:gridCol w:w="274"/>
        <w:gridCol w:w="1753"/>
        <w:gridCol w:w="1446"/>
      </w:tblGrid>
      <w:tr w:rsidR="00F87902">
        <w:trPr>
          <w:jc w:val="center"/>
        </w:trPr>
        <w:tc>
          <w:tcPr>
            <w:tcW w:w="1412"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34"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74" w:type="dxa"/>
            <w:tcBorders>
              <w:top w:val="single" w:sz="18" w:space="0" w:color="00000A"/>
            </w:tcBorders>
            <w:shd w:val="clear" w:color="auto" w:fill="auto"/>
          </w:tcPr>
          <w:p w:rsidR="00F87902" w:rsidRDefault="00F87902">
            <w:pPr>
              <w:jc w:val="center"/>
              <w:rPr>
                <w:rFonts w:ascii="Arial" w:hAnsi="Arial" w:cs="Arial"/>
                <w:b/>
              </w:rPr>
            </w:pPr>
          </w:p>
        </w:tc>
        <w:tc>
          <w:tcPr>
            <w:tcW w:w="3199"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12"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394"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40"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74"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53"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4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12"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3.1</w:t>
            </w:r>
          </w:p>
        </w:tc>
        <w:tc>
          <w:tcPr>
            <w:tcW w:w="1394" w:type="dxa"/>
            <w:tcBorders>
              <w:top w:val="single" w:sz="12" w:space="0" w:color="00000A"/>
            </w:tcBorders>
            <w:shd w:val="clear" w:color="auto" w:fill="auto"/>
          </w:tcPr>
          <w:p w:rsidR="00F87902" w:rsidRDefault="00A519F9">
            <w:pPr>
              <w:ind w:left="283" w:right="227"/>
              <w:jc w:val="right"/>
              <w:rPr>
                <w:rFonts w:ascii="Arial" w:hAnsi="Arial" w:cs="Arial"/>
                <w:sz w:val="20"/>
                <w:szCs w:val="20"/>
              </w:rPr>
            </w:pPr>
            <w:r>
              <w:rPr>
                <w:rFonts w:ascii="Arial" w:hAnsi="Arial" w:cs="Arial"/>
                <w:sz w:val="20"/>
                <w:szCs w:val="20"/>
              </w:rPr>
              <w:t>329,6</w:t>
            </w:r>
          </w:p>
        </w:tc>
        <w:tc>
          <w:tcPr>
            <w:tcW w:w="2440" w:type="dxa"/>
            <w:tcBorders>
              <w:top w:val="single" w:sz="12" w:space="0" w:color="00000A"/>
            </w:tcBorders>
            <w:shd w:val="clear" w:color="auto" w:fill="auto"/>
          </w:tcPr>
          <w:p w:rsidR="00F87902" w:rsidRDefault="00A519F9">
            <w:pPr>
              <w:ind w:left="283" w:right="850"/>
              <w:jc w:val="right"/>
              <w:rPr>
                <w:rFonts w:ascii="Arial" w:hAnsi="Arial" w:cs="Arial"/>
                <w:sz w:val="20"/>
                <w:szCs w:val="20"/>
              </w:rPr>
            </w:pPr>
            <w:r>
              <w:rPr>
                <w:rFonts w:ascii="Arial" w:hAnsi="Arial" w:cs="Arial"/>
                <w:sz w:val="20"/>
                <w:szCs w:val="20"/>
              </w:rPr>
              <w:t>392,4</w:t>
            </w:r>
          </w:p>
        </w:tc>
        <w:tc>
          <w:tcPr>
            <w:tcW w:w="274"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53" w:type="dxa"/>
            <w:tcBorders>
              <w:top w:val="single" w:sz="12" w:space="0" w:color="00000A"/>
            </w:tcBorders>
            <w:shd w:val="clear" w:color="auto" w:fill="auto"/>
          </w:tcPr>
          <w:p w:rsidR="00F87902" w:rsidRDefault="00A519F9">
            <w:pPr>
              <w:ind w:left="283" w:right="397"/>
              <w:jc w:val="right"/>
              <w:rPr>
                <w:rFonts w:ascii="Arial" w:hAnsi="Arial" w:cs="Arial"/>
                <w:sz w:val="20"/>
                <w:szCs w:val="20"/>
              </w:rPr>
            </w:pPr>
            <w:r>
              <w:rPr>
                <w:rFonts w:ascii="Arial" w:hAnsi="Arial" w:cs="Arial"/>
                <w:sz w:val="20"/>
                <w:szCs w:val="20"/>
              </w:rPr>
              <w:t>381,6</w:t>
            </w:r>
          </w:p>
        </w:tc>
        <w:tc>
          <w:tcPr>
            <w:tcW w:w="1446" w:type="dxa"/>
            <w:tcBorders>
              <w:top w:val="single" w:sz="12" w:space="0" w:color="00000A"/>
            </w:tcBorders>
            <w:shd w:val="clear" w:color="auto" w:fill="auto"/>
          </w:tcPr>
          <w:p w:rsidR="00F87902" w:rsidRDefault="00A519F9">
            <w:pPr>
              <w:ind w:left="283" w:right="283"/>
              <w:jc w:val="right"/>
              <w:rPr>
                <w:rFonts w:ascii="Arial" w:hAnsi="Arial" w:cs="Arial"/>
                <w:sz w:val="20"/>
                <w:szCs w:val="20"/>
              </w:rPr>
            </w:pPr>
            <w:r>
              <w:rPr>
                <w:rFonts w:ascii="Arial" w:hAnsi="Arial" w:cs="Arial"/>
                <w:sz w:val="20"/>
                <w:szCs w:val="20"/>
              </w:rPr>
              <w:t>97,2%</w:t>
            </w:r>
          </w:p>
        </w:tc>
      </w:tr>
      <w:tr w:rsidR="00F87902">
        <w:trPr>
          <w:jc w:val="center"/>
        </w:trPr>
        <w:tc>
          <w:tcPr>
            <w:tcW w:w="1412" w:type="dxa"/>
            <w:shd w:val="clear" w:color="auto" w:fill="auto"/>
          </w:tcPr>
          <w:p w:rsidR="00F87902" w:rsidRDefault="00A519F9">
            <w:pPr>
              <w:jc w:val="center"/>
              <w:rPr>
                <w:rFonts w:ascii="Arial" w:hAnsi="Arial" w:cs="Arial"/>
                <w:b/>
                <w:sz w:val="20"/>
                <w:szCs w:val="20"/>
              </w:rPr>
            </w:pPr>
            <w:r>
              <w:rPr>
                <w:rFonts w:ascii="Arial" w:hAnsi="Arial" w:cs="Arial"/>
                <w:b/>
                <w:sz w:val="20"/>
                <w:szCs w:val="20"/>
              </w:rPr>
              <w:t>3.2</w:t>
            </w:r>
          </w:p>
        </w:tc>
        <w:tc>
          <w:tcPr>
            <w:tcW w:w="1394"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818,5</w:t>
            </w:r>
          </w:p>
        </w:tc>
        <w:tc>
          <w:tcPr>
            <w:tcW w:w="2440"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699,5</w:t>
            </w:r>
          </w:p>
        </w:tc>
        <w:tc>
          <w:tcPr>
            <w:tcW w:w="274" w:type="dxa"/>
            <w:shd w:val="clear" w:color="auto" w:fill="auto"/>
          </w:tcPr>
          <w:p w:rsidR="00F87902" w:rsidRDefault="00F87902">
            <w:pPr>
              <w:jc w:val="center"/>
              <w:rPr>
                <w:rFonts w:ascii="Arial" w:hAnsi="Arial" w:cs="Arial"/>
                <w:color w:val="0070C0"/>
                <w:sz w:val="20"/>
                <w:szCs w:val="20"/>
              </w:rPr>
            </w:pPr>
          </w:p>
        </w:tc>
        <w:tc>
          <w:tcPr>
            <w:tcW w:w="175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607,1</w:t>
            </w:r>
          </w:p>
        </w:tc>
        <w:tc>
          <w:tcPr>
            <w:tcW w:w="1446"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86,8%</w:t>
            </w:r>
          </w:p>
        </w:tc>
      </w:tr>
      <w:tr w:rsidR="00F87902">
        <w:trPr>
          <w:jc w:val="center"/>
        </w:trPr>
        <w:tc>
          <w:tcPr>
            <w:tcW w:w="1412" w:type="dxa"/>
            <w:shd w:val="clear" w:color="auto" w:fill="auto"/>
          </w:tcPr>
          <w:p w:rsidR="00F87902" w:rsidRDefault="00A519F9">
            <w:pPr>
              <w:jc w:val="center"/>
              <w:rPr>
                <w:rFonts w:ascii="Arial" w:hAnsi="Arial" w:cs="Arial"/>
                <w:b/>
                <w:sz w:val="20"/>
                <w:szCs w:val="20"/>
              </w:rPr>
            </w:pPr>
            <w:r>
              <w:rPr>
                <w:rFonts w:ascii="Arial" w:hAnsi="Arial" w:cs="Arial"/>
                <w:b/>
                <w:sz w:val="20"/>
                <w:szCs w:val="20"/>
              </w:rPr>
              <w:t>3.3</w:t>
            </w:r>
          </w:p>
        </w:tc>
        <w:tc>
          <w:tcPr>
            <w:tcW w:w="1394"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680,8</w:t>
            </w:r>
          </w:p>
        </w:tc>
        <w:tc>
          <w:tcPr>
            <w:tcW w:w="2440"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848,2</w:t>
            </w:r>
          </w:p>
        </w:tc>
        <w:tc>
          <w:tcPr>
            <w:tcW w:w="274" w:type="dxa"/>
            <w:shd w:val="clear" w:color="auto" w:fill="auto"/>
          </w:tcPr>
          <w:p w:rsidR="00F87902" w:rsidRDefault="00F87902">
            <w:pPr>
              <w:jc w:val="center"/>
              <w:rPr>
                <w:rFonts w:ascii="Arial" w:hAnsi="Arial" w:cs="Arial"/>
                <w:color w:val="0070C0"/>
                <w:sz w:val="20"/>
                <w:szCs w:val="20"/>
              </w:rPr>
            </w:pPr>
          </w:p>
        </w:tc>
        <w:tc>
          <w:tcPr>
            <w:tcW w:w="175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718,3</w:t>
            </w:r>
          </w:p>
        </w:tc>
        <w:tc>
          <w:tcPr>
            <w:tcW w:w="1446"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84,7%</w:t>
            </w:r>
          </w:p>
        </w:tc>
      </w:tr>
      <w:tr w:rsidR="00F87902">
        <w:trPr>
          <w:jc w:val="center"/>
        </w:trPr>
        <w:tc>
          <w:tcPr>
            <w:tcW w:w="1412" w:type="dxa"/>
            <w:shd w:val="clear" w:color="auto" w:fill="auto"/>
          </w:tcPr>
          <w:p w:rsidR="00F87902" w:rsidRDefault="00A519F9">
            <w:pPr>
              <w:jc w:val="center"/>
              <w:rPr>
                <w:rFonts w:ascii="Arial" w:hAnsi="Arial" w:cs="Arial"/>
                <w:b/>
                <w:sz w:val="20"/>
                <w:szCs w:val="20"/>
              </w:rPr>
            </w:pPr>
            <w:r>
              <w:rPr>
                <w:rFonts w:ascii="Arial" w:hAnsi="Arial" w:cs="Arial"/>
                <w:b/>
                <w:sz w:val="20"/>
                <w:szCs w:val="20"/>
              </w:rPr>
              <w:t>3.4</w:t>
            </w:r>
          </w:p>
        </w:tc>
        <w:tc>
          <w:tcPr>
            <w:tcW w:w="1394"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1.097,3</w:t>
            </w:r>
          </w:p>
        </w:tc>
        <w:tc>
          <w:tcPr>
            <w:tcW w:w="2440"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1.103,9</w:t>
            </w:r>
          </w:p>
        </w:tc>
        <w:tc>
          <w:tcPr>
            <w:tcW w:w="274" w:type="dxa"/>
            <w:shd w:val="clear" w:color="auto" w:fill="auto"/>
          </w:tcPr>
          <w:p w:rsidR="00F87902" w:rsidRDefault="00F87902">
            <w:pPr>
              <w:jc w:val="center"/>
              <w:rPr>
                <w:rFonts w:ascii="Arial" w:hAnsi="Arial" w:cs="Arial"/>
                <w:color w:val="0070C0"/>
                <w:sz w:val="20"/>
                <w:szCs w:val="20"/>
              </w:rPr>
            </w:pPr>
          </w:p>
        </w:tc>
        <w:tc>
          <w:tcPr>
            <w:tcW w:w="175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822,8</w:t>
            </w:r>
          </w:p>
        </w:tc>
        <w:tc>
          <w:tcPr>
            <w:tcW w:w="1446"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74,5%</w:t>
            </w:r>
          </w:p>
        </w:tc>
      </w:tr>
      <w:tr w:rsidR="00F87902">
        <w:trPr>
          <w:jc w:val="center"/>
        </w:trPr>
        <w:tc>
          <w:tcPr>
            <w:tcW w:w="1412" w:type="dxa"/>
            <w:shd w:val="clear" w:color="auto" w:fill="auto"/>
          </w:tcPr>
          <w:p w:rsidR="00F87902" w:rsidRDefault="00A519F9">
            <w:pPr>
              <w:jc w:val="center"/>
              <w:rPr>
                <w:rFonts w:ascii="Arial" w:hAnsi="Arial" w:cs="Arial"/>
                <w:b/>
                <w:sz w:val="20"/>
                <w:szCs w:val="20"/>
              </w:rPr>
            </w:pPr>
            <w:r>
              <w:rPr>
                <w:rFonts w:ascii="Arial" w:hAnsi="Arial" w:cs="Arial"/>
                <w:b/>
                <w:sz w:val="20"/>
                <w:szCs w:val="20"/>
              </w:rPr>
              <w:t>3.5</w:t>
            </w:r>
          </w:p>
        </w:tc>
        <w:tc>
          <w:tcPr>
            <w:tcW w:w="1394"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159,0</w:t>
            </w:r>
          </w:p>
        </w:tc>
        <w:tc>
          <w:tcPr>
            <w:tcW w:w="2440"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301,6</w:t>
            </w:r>
          </w:p>
        </w:tc>
        <w:tc>
          <w:tcPr>
            <w:tcW w:w="274" w:type="dxa"/>
            <w:shd w:val="clear" w:color="auto" w:fill="auto"/>
          </w:tcPr>
          <w:p w:rsidR="00F87902" w:rsidRDefault="00F87902">
            <w:pPr>
              <w:jc w:val="center"/>
              <w:rPr>
                <w:rFonts w:ascii="Arial" w:hAnsi="Arial" w:cs="Arial"/>
                <w:color w:val="0070C0"/>
                <w:sz w:val="20"/>
                <w:szCs w:val="20"/>
              </w:rPr>
            </w:pPr>
          </w:p>
        </w:tc>
        <w:tc>
          <w:tcPr>
            <w:tcW w:w="175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154,1</w:t>
            </w:r>
          </w:p>
        </w:tc>
        <w:tc>
          <w:tcPr>
            <w:tcW w:w="1446"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51,1%</w:t>
            </w:r>
          </w:p>
        </w:tc>
      </w:tr>
      <w:tr w:rsidR="00F87902">
        <w:trPr>
          <w:jc w:val="center"/>
        </w:trPr>
        <w:tc>
          <w:tcPr>
            <w:tcW w:w="1412" w:type="dxa"/>
            <w:shd w:val="clear" w:color="auto" w:fill="auto"/>
          </w:tcPr>
          <w:p w:rsidR="00F87902" w:rsidRDefault="00F87902">
            <w:pPr>
              <w:jc w:val="center"/>
              <w:rPr>
                <w:rFonts w:ascii="Arial" w:hAnsi="Arial" w:cs="Arial"/>
                <w:b/>
                <w:sz w:val="20"/>
                <w:szCs w:val="20"/>
              </w:rPr>
            </w:pPr>
          </w:p>
        </w:tc>
        <w:tc>
          <w:tcPr>
            <w:tcW w:w="1394" w:type="dxa"/>
            <w:shd w:val="clear" w:color="auto" w:fill="auto"/>
            <w:vAlign w:val="bottom"/>
          </w:tcPr>
          <w:p w:rsidR="00F87902" w:rsidRDefault="00F87902">
            <w:pPr>
              <w:ind w:left="283" w:right="227"/>
              <w:jc w:val="right"/>
              <w:rPr>
                <w:rFonts w:ascii="Arial" w:hAnsi="Arial" w:cs="Arial"/>
                <w:sz w:val="20"/>
                <w:szCs w:val="20"/>
              </w:rPr>
            </w:pPr>
          </w:p>
        </w:tc>
        <w:tc>
          <w:tcPr>
            <w:tcW w:w="2440" w:type="dxa"/>
            <w:shd w:val="clear" w:color="auto" w:fill="auto"/>
            <w:vAlign w:val="bottom"/>
          </w:tcPr>
          <w:p w:rsidR="00F87902" w:rsidRDefault="00F87902">
            <w:pPr>
              <w:ind w:left="283" w:right="850"/>
              <w:jc w:val="right"/>
              <w:rPr>
                <w:rFonts w:ascii="Arial" w:hAnsi="Arial" w:cs="Arial"/>
                <w:sz w:val="20"/>
                <w:szCs w:val="20"/>
              </w:rPr>
            </w:pPr>
          </w:p>
        </w:tc>
        <w:tc>
          <w:tcPr>
            <w:tcW w:w="274" w:type="dxa"/>
            <w:shd w:val="clear" w:color="auto" w:fill="auto"/>
          </w:tcPr>
          <w:p w:rsidR="00F87902" w:rsidRDefault="00F87902">
            <w:pPr>
              <w:jc w:val="center"/>
              <w:rPr>
                <w:rFonts w:ascii="Arial" w:hAnsi="Arial" w:cs="Arial"/>
                <w:color w:val="0070C0"/>
                <w:sz w:val="20"/>
                <w:szCs w:val="20"/>
              </w:rPr>
            </w:pPr>
          </w:p>
        </w:tc>
        <w:tc>
          <w:tcPr>
            <w:tcW w:w="1753" w:type="dxa"/>
            <w:shd w:val="clear" w:color="auto" w:fill="auto"/>
            <w:vAlign w:val="bottom"/>
          </w:tcPr>
          <w:p w:rsidR="00F87902" w:rsidRDefault="00F87902">
            <w:pPr>
              <w:ind w:left="283" w:right="397"/>
              <w:jc w:val="right"/>
              <w:rPr>
                <w:rFonts w:ascii="Arial" w:hAnsi="Arial" w:cs="Arial"/>
                <w:sz w:val="20"/>
                <w:szCs w:val="20"/>
              </w:rPr>
            </w:pPr>
          </w:p>
        </w:tc>
        <w:tc>
          <w:tcPr>
            <w:tcW w:w="1446" w:type="dxa"/>
            <w:shd w:val="clear" w:color="auto" w:fill="auto"/>
            <w:vAlign w:val="bottom"/>
          </w:tcPr>
          <w:p w:rsidR="00F87902" w:rsidRDefault="00F87902">
            <w:pPr>
              <w:ind w:left="283" w:right="283"/>
              <w:jc w:val="right"/>
              <w:rPr>
                <w:rFonts w:ascii="Arial" w:hAnsi="Arial" w:cs="Arial"/>
                <w:sz w:val="20"/>
                <w:szCs w:val="20"/>
              </w:rPr>
            </w:pPr>
          </w:p>
        </w:tc>
      </w:tr>
      <w:tr w:rsidR="00F87902">
        <w:trPr>
          <w:jc w:val="center"/>
        </w:trPr>
        <w:tc>
          <w:tcPr>
            <w:tcW w:w="1412" w:type="dxa"/>
            <w:shd w:val="clear" w:color="auto" w:fill="auto"/>
          </w:tcPr>
          <w:p w:rsidR="00F87902" w:rsidRDefault="00F87902">
            <w:pPr>
              <w:jc w:val="center"/>
              <w:rPr>
                <w:rFonts w:ascii="Arial" w:hAnsi="Arial" w:cs="Arial"/>
                <w:b/>
                <w:sz w:val="20"/>
                <w:szCs w:val="20"/>
              </w:rPr>
            </w:pPr>
          </w:p>
        </w:tc>
        <w:tc>
          <w:tcPr>
            <w:tcW w:w="1394" w:type="dxa"/>
            <w:shd w:val="clear" w:color="auto" w:fill="auto"/>
          </w:tcPr>
          <w:p w:rsidR="00F87902" w:rsidRDefault="00F87902">
            <w:pPr>
              <w:ind w:left="283" w:right="227"/>
              <w:jc w:val="right"/>
              <w:rPr>
                <w:rFonts w:ascii="Arial" w:hAnsi="Arial" w:cs="Arial"/>
                <w:sz w:val="20"/>
                <w:szCs w:val="20"/>
              </w:rPr>
            </w:pPr>
          </w:p>
        </w:tc>
        <w:tc>
          <w:tcPr>
            <w:tcW w:w="2440" w:type="dxa"/>
            <w:shd w:val="clear" w:color="auto" w:fill="auto"/>
          </w:tcPr>
          <w:p w:rsidR="00F87902" w:rsidRDefault="00F87902">
            <w:pPr>
              <w:ind w:left="283" w:right="850"/>
              <w:jc w:val="right"/>
              <w:rPr>
                <w:rFonts w:ascii="Arial" w:hAnsi="Arial" w:cs="Arial"/>
                <w:sz w:val="20"/>
                <w:szCs w:val="20"/>
              </w:rPr>
            </w:pPr>
          </w:p>
        </w:tc>
        <w:tc>
          <w:tcPr>
            <w:tcW w:w="274" w:type="dxa"/>
            <w:shd w:val="clear" w:color="auto" w:fill="auto"/>
          </w:tcPr>
          <w:p w:rsidR="00F87902" w:rsidRDefault="00F87902">
            <w:pPr>
              <w:jc w:val="center"/>
              <w:rPr>
                <w:rFonts w:ascii="Arial" w:hAnsi="Arial" w:cs="Arial"/>
                <w:b/>
                <w:color w:val="0070C0"/>
                <w:sz w:val="20"/>
                <w:szCs w:val="20"/>
              </w:rPr>
            </w:pPr>
          </w:p>
        </w:tc>
        <w:tc>
          <w:tcPr>
            <w:tcW w:w="1753" w:type="dxa"/>
            <w:shd w:val="clear" w:color="auto" w:fill="auto"/>
          </w:tcPr>
          <w:p w:rsidR="00F87902" w:rsidRDefault="00F87902">
            <w:pPr>
              <w:ind w:left="283" w:right="397"/>
              <w:jc w:val="right"/>
              <w:rPr>
                <w:rFonts w:ascii="Arial" w:hAnsi="Arial" w:cs="Arial"/>
                <w:sz w:val="20"/>
                <w:szCs w:val="20"/>
              </w:rPr>
            </w:pPr>
          </w:p>
        </w:tc>
        <w:tc>
          <w:tcPr>
            <w:tcW w:w="1446" w:type="dxa"/>
            <w:shd w:val="clear" w:color="auto" w:fill="auto"/>
          </w:tcPr>
          <w:p w:rsidR="00F87902" w:rsidRDefault="00F87902">
            <w:pPr>
              <w:ind w:left="283" w:right="283"/>
              <w:jc w:val="right"/>
              <w:rPr>
                <w:rFonts w:ascii="Arial" w:hAnsi="Arial" w:cs="Arial"/>
                <w:sz w:val="20"/>
                <w:szCs w:val="20"/>
              </w:rPr>
            </w:pPr>
          </w:p>
        </w:tc>
      </w:tr>
      <w:tr w:rsidR="00F87902">
        <w:trPr>
          <w:jc w:val="center"/>
        </w:trPr>
        <w:tc>
          <w:tcPr>
            <w:tcW w:w="1412"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3</w:t>
            </w:r>
          </w:p>
        </w:tc>
        <w:tc>
          <w:tcPr>
            <w:tcW w:w="1394"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3.085,3</w:t>
            </w:r>
          </w:p>
        </w:tc>
        <w:tc>
          <w:tcPr>
            <w:tcW w:w="2440" w:type="dxa"/>
            <w:tcBorders>
              <w:top w:val="single" w:sz="18" w:space="0" w:color="00000A"/>
              <w:bottom w:val="single" w:sz="18" w:space="0" w:color="00000A"/>
            </w:tcBorders>
            <w:shd w:val="clear" w:color="auto" w:fill="auto"/>
          </w:tcPr>
          <w:p w:rsidR="00F87902" w:rsidRDefault="00A519F9">
            <w:pPr>
              <w:ind w:left="283" w:right="850"/>
              <w:jc w:val="right"/>
              <w:rPr>
                <w:rFonts w:ascii="Arial" w:hAnsi="Arial" w:cs="Arial"/>
                <w:b/>
                <w:sz w:val="20"/>
                <w:szCs w:val="20"/>
              </w:rPr>
            </w:pPr>
            <w:r>
              <w:rPr>
                <w:rFonts w:ascii="Arial" w:hAnsi="Arial" w:cs="Arial"/>
                <w:b/>
                <w:sz w:val="20"/>
                <w:szCs w:val="20"/>
              </w:rPr>
              <w:t>3.345,6</w:t>
            </w:r>
          </w:p>
        </w:tc>
        <w:tc>
          <w:tcPr>
            <w:tcW w:w="274" w:type="dxa"/>
            <w:tcBorders>
              <w:top w:val="single" w:sz="18" w:space="0" w:color="00000A"/>
              <w:bottom w:val="single" w:sz="18" w:space="0" w:color="00000A"/>
            </w:tcBorders>
            <w:shd w:val="clear" w:color="auto" w:fill="auto"/>
          </w:tcPr>
          <w:p w:rsidR="00F87902" w:rsidRDefault="00F87902">
            <w:pPr>
              <w:jc w:val="center"/>
              <w:rPr>
                <w:rFonts w:ascii="Arial" w:hAnsi="Arial" w:cs="Arial"/>
                <w:b/>
                <w:color w:val="0070C0"/>
                <w:sz w:val="20"/>
                <w:szCs w:val="20"/>
              </w:rPr>
            </w:pPr>
          </w:p>
        </w:tc>
        <w:tc>
          <w:tcPr>
            <w:tcW w:w="1753"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2.683,9</w:t>
            </w:r>
          </w:p>
        </w:tc>
        <w:tc>
          <w:tcPr>
            <w:tcW w:w="1446" w:type="dxa"/>
            <w:tcBorders>
              <w:top w:val="single" w:sz="18" w:space="0" w:color="00000A"/>
              <w:bottom w:val="single" w:sz="18" w:space="0" w:color="00000A"/>
            </w:tcBorders>
            <w:shd w:val="clear" w:color="auto" w:fill="auto"/>
          </w:tcPr>
          <w:p w:rsidR="00F87902" w:rsidRDefault="00A519F9">
            <w:pPr>
              <w:ind w:left="283" w:right="283"/>
              <w:jc w:val="right"/>
              <w:rPr>
                <w:rFonts w:ascii="Arial" w:hAnsi="Arial" w:cs="Arial"/>
                <w:b/>
                <w:sz w:val="20"/>
                <w:szCs w:val="20"/>
              </w:rPr>
            </w:pPr>
            <w:r>
              <w:rPr>
                <w:rFonts w:ascii="Arial" w:hAnsi="Arial" w:cs="Arial"/>
                <w:b/>
                <w:sz w:val="20"/>
                <w:szCs w:val="20"/>
              </w:rPr>
              <w:t>80,2%</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pStyle w:val="Prrafodelista"/>
        <w:rPr>
          <w:rFonts w:ascii="Arial" w:hAnsi="Arial" w:cs="Arial"/>
          <w:sz w:val="22"/>
          <w:szCs w:val="22"/>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i/>
        </w:rPr>
      </w:pPr>
      <w:r>
        <w:rPr>
          <w:rFonts w:ascii="Arial" w:hAnsi="Arial" w:cs="Arial"/>
          <w:b/>
        </w:rPr>
        <w:t xml:space="preserve">Objetivo 4. Mejorar las condiciones de infraestructura física, dedicadas a asegurar la permanencia de los estudiantes de la sede regional Brunca.    </w:t>
      </w:r>
    </w:p>
    <w:p w:rsidR="00F87902" w:rsidRDefault="00F87902">
      <w:pPr>
        <w:spacing w:line="360" w:lineRule="auto"/>
        <w:jc w:val="both"/>
        <w:rPr>
          <w:rFonts w:ascii="Arial" w:hAnsi="Arial" w:cs="Arial"/>
          <w:b/>
          <w:i/>
          <w:sz w:val="18"/>
          <w:szCs w:val="18"/>
        </w:rPr>
      </w:pPr>
    </w:p>
    <w:p w:rsidR="00F87902" w:rsidRDefault="00A519F9">
      <w:pPr>
        <w:spacing w:line="360" w:lineRule="auto"/>
        <w:ind w:left="708"/>
        <w:jc w:val="both"/>
      </w:pPr>
      <w:r>
        <w:rPr>
          <w:rFonts w:ascii="Arial" w:hAnsi="Arial" w:cs="Arial"/>
          <w:b/>
        </w:rPr>
        <w:t xml:space="preserve">Meta 4.1 Gestionar 2 obras de inversión (residencias estudiantiles en Pérez Zeledón y obras deportivas en el campus Coto). </w:t>
      </w:r>
    </w:p>
    <w:p w:rsidR="00F87902" w:rsidRDefault="00A519F9">
      <w:pPr>
        <w:ind w:left="708"/>
        <w:jc w:val="both"/>
        <w:rPr>
          <w:rFonts w:ascii="Arial" w:hAnsi="Arial" w:cs="Arial"/>
          <w:sz w:val="22"/>
          <w:szCs w:val="22"/>
        </w:rPr>
      </w:pPr>
      <w:r>
        <w:rPr>
          <w:rFonts w:ascii="Arial" w:hAnsi="Arial" w:cs="Arial"/>
          <w:sz w:val="22"/>
          <w:szCs w:val="22"/>
        </w:rPr>
        <w:t xml:space="preserve">La meta se ha cumplido en un estimado del </w:t>
      </w:r>
      <w:r>
        <w:rPr>
          <w:rFonts w:ascii="Arial" w:hAnsi="Arial" w:cs="Arial"/>
          <w:b/>
          <w:sz w:val="22"/>
          <w:szCs w:val="22"/>
        </w:rPr>
        <w:t>100%</w:t>
      </w:r>
      <w:r>
        <w:rPr>
          <w:rFonts w:ascii="Arial" w:hAnsi="Arial" w:cs="Arial"/>
          <w:sz w:val="22"/>
          <w:szCs w:val="22"/>
        </w:rPr>
        <w:t>, aun cuando no presente prácticamente ejecución presupuestaria alguna, puesto que si bien solamente se adjudicaron las obras deportivas en el campus Coto, sí se lograron gestionar 4 obras en las diferentes sedes de la Universidad que iniciarán en el 2016, según detalle:</w:t>
      </w:r>
    </w:p>
    <w:p w:rsidR="00F87902" w:rsidRDefault="00F87902">
      <w:pPr>
        <w:ind w:left="708"/>
        <w:jc w:val="both"/>
        <w:rPr>
          <w:rFonts w:ascii="Arial" w:hAnsi="Arial" w:cs="Arial"/>
          <w:sz w:val="22"/>
          <w:szCs w:val="22"/>
        </w:rPr>
      </w:pPr>
    </w:p>
    <w:p w:rsidR="00F87902" w:rsidRDefault="00F87902">
      <w:pPr>
        <w:ind w:left="720"/>
        <w:jc w:val="both"/>
        <w:rPr>
          <w:rFonts w:ascii="Arial" w:hAnsi="Arial" w:cs="Arial"/>
          <w:sz w:val="22"/>
          <w:szCs w:val="22"/>
        </w:rPr>
      </w:pPr>
    </w:p>
    <w:p w:rsidR="00F87902" w:rsidRDefault="00A519F9">
      <w:pPr>
        <w:pStyle w:val="Prrafodelista"/>
        <w:numPr>
          <w:ilvl w:val="0"/>
          <w:numId w:val="29"/>
        </w:numPr>
        <w:rPr>
          <w:rFonts w:ascii="Arial" w:eastAsia="Times New Roman" w:hAnsi="Arial" w:cs="Arial"/>
          <w:sz w:val="22"/>
          <w:szCs w:val="22"/>
        </w:rPr>
      </w:pPr>
      <w:r>
        <w:rPr>
          <w:rFonts w:ascii="Arial" w:eastAsia="Times New Roman" w:hAnsi="Arial" w:cs="Arial"/>
          <w:sz w:val="22"/>
          <w:szCs w:val="22"/>
        </w:rPr>
        <w:t>Obras deportivas en el campus Coto licitadas y adjudicadas, cuyo inicio se estima para febrero del 2016.</w:t>
      </w:r>
    </w:p>
    <w:p w:rsidR="00F87902" w:rsidRDefault="00A519F9">
      <w:pPr>
        <w:pStyle w:val="Prrafodelista"/>
        <w:numPr>
          <w:ilvl w:val="0"/>
          <w:numId w:val="29"/>
        </w:numPr>
        <w:rPr>
          <w:rFonts w:ascii="Arial" w:eastAsia="Times New Roman" w:hAnsi="Arial" w:cs="Arial"/>
          <w:sz w:val="22"/>
          <w:szCs w:val="22"/>
        </w:rPr>
      </w:pPr>
      <w:r>
        <w:rPr>
          <w:rFonts w:ascii="Arial" w:eastAsia="Times New Roman" w:hAnsi="Arial" w:cs="Arial"/>
          <w:sz w:val="22"/>
          <w:szCs w:val="22"/>
        </w:rPr>
        <w:t>Residencias y obras deportivas en Nicoya cuentan con el proceso de licitación, se recibieron ofertas, y se encuentra en la etapa de evaluación de ofertas.</w:t>
      </w:r>
    </w:p>
    <w:p w:rsidR="00F87902" w:rsidRDefault="00A519F9">
      <w:pPr>
        <w:pStyle w:val="Prrafodelista"/>
        <w:numPr>
          <w:ilvl w:val="0"/>
          <w:numId w:val="29"/>
        </w:numPr>
        <w:rPr>
          <w:rFonts w:ascii="Arial" w:eastAsia="Times New Roman" w:hAnsi="Arial" w:cs="Arial"/>
          <w:sz w:val="22"/>
          <w:szCs w:val="22"/>
        </w:rPr>
      </w:pPr>
      <w:r>
        <w:rPr>
          <w:rFonts w:ascii="Arial" w:eastAsia="Times New Roman" w:hAnsi="Arial" w:cs="Arial"/>
          <w:sz w:val="22"/>
          <w:szCs w:val="22"/>
        </w:rPr>
        <w:t>Residencias y obras deportivas en Pérez Zeledón presenta la “No objeción de cartel” e inicio del proceso de licitación con apertura de ofertas en enero del 2016.</w:t>
      </w:r>
    </w:p>
    <w:p w:rsidR="00F87902" w:rsidRDefault="00A519F9">
      <w:pPr>
        <w:pStyle w:val="Prrafodelista"/>
        <w:numPr>
          <w:ilvl w:val="0"/>
          <w:numId w:val="29"/>
        </w:numPr>
        <w:rPr>
          <w:rFonts w:ascii="Arial" w:eastAsia="Times New Roman" w:hAnsi="Arial" w:cs="Arial"/>
          <w:sz w:val="22"/>
          <w:szCs w:val="22"/>
        </w:rPr>
      </w:pPr>
      <w:r>
        <w:rPr>
          <w:rFonts w:ascii="Arial" w:eastAsia="Times New Roman" w:hAnsi="Arial" w:cs="Arial"/>
          <w:sz w:val="22"/>
          <w:szCs w:val="22"/>
        </w:rPr>
        <w:t>Residencias y obras deportivas en Liberia muestra la recepción de la conformidad técnica del proyecto, y está por iniciarse el proceso de licitación.</w:t>
      </w:r>
    </w:p>
    <w:p w:rsidR="00F87902" w:rsidRDefault="00A519F9">
      <w:pPr>
        <w:pStyle w:val="Prrafodelista"/>
        <w:numPr>
          <w:ilvl w:val="0"/>
          <w:numId w:val="29"/>
        </w:numPr>
        <w:rPr>
          <w:rFonts w:ascii="Arial" w:eastAsia="Times New Roman" w:hAnsi="Arial" w:cs="Arial"/>
          <w:sz w:val="22"/>
          <w:szCs w:val="22"/>
        </w:rPr>
      </w:pPr>
      <w:r>
        <w:rPr>
          <w:rFonts w:ascii="Arial" w:eastAsia="Times New Roman" w:hAnsi="Arial" w:cs="Arial"/>
          <w:sz w:val="22"/>
          <w:szCs w:val="22"/>
        </w:rPr>
        <w:t>Residencias Sarapiquí cuenta con el inicio del proceso de licitación y apertura de ofertas, respecto de las cuales ha iniciado la evaluación correspondiente.</w:t>
      </w:r>
    </w:p>
    <w:p w:rsidR="00F87902" w:rsidRDefault="00F87902">
      <w:pPr>
        <w:ind w:left="708"/>
        <w:jc w:val="both"/>
        <w:rPr>
          <w:rFonts w:ascii="Arial" w:hAnsi="Arial" w:cs="Arial"/>
          <w:i/>
          <w:sz w:val="22"/>
          <w:szCs w:val="22"/>
        </w:rPr>
      </w:pPr>
    </w:p>
    <w:p w:rsidR="00F87902" w:rsidRDefault="00A519F9">
      <w:pPr>
        <w:ind w:left="708"/>
        <w:jc w:val="both"/>
        <w:rPr>
          <w:rFonts w:ascii="Arial" w:hAnsi="Arial" w:cs="Arial"/>
          <w:i/>
          <w:sz w:val="22"/>
          <w:szCs w:val="22"/>
        </w:rPr>
      </w:pPr>
      <w:r>
        <w:rPr>
          <w:rFonts w:ascii="Arial" w:hAnsi="Arial" w:cs="Arial"/>
          <w:i/>
          <w:sz w:val="22"/>
          <w:szCs w:val="22"/>
        </w:rPr>
        <w:t xml:space="preserve">La baja ejecución de esta meta (3,8%) se origina en los procesos de licitación y construcción que tienen asociados los proyectos de infraestructura que contempla la meta (obras deportivas y residencias financiadas con recursos provenientes del Plan de Mejoramiento </w:t>
      </w:r>
      <w:r>
        <w:rPr>
          <w:rFonts w:ascii="Arial" w:hAnsi="Arial" w:cs="Arial"/>
          <w:i/>
          <w:sz w:val="22"/>
          <w:szCs w:val="22"/>
        </w:rPr>
        <w:lastRenderedPageBreak/>
        <w:t>Institucional). De acuerdo con el cronograma de ejecución, durante el 2016 y  2017 se concentra la construcción de dichos proyectos.</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rPr>
          <w:rFonts w:ascii="Arial" w:hAnsi="Arial" w:cs="Arial"/>
        </w:rPr>
      </w:pPr>
      <w:r>
        <w:rPr>
          <w:rFonts w:ascii="Arial" w:hAnsi="Arial" w:cs="Arial"/>
          <w:b/>
        </w:rPr>
        <w:t>CUADRO N° 13</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sz w:val="22"/>
          <w:szCs w:val="22"/>
          <w:u w:val="single"/>
        </w:rPr>
      </w:pPr>
    </w:p>
    <w:tbl>
      <w:tblPr>
        <w:tblW w:w="8720" w:type="dxa"/>
        <w:jc w:val="center"/>
        <w:tblBorders>
          <w:top w:val="single" w:sz="18" w:space="0" w:color="00000A"/>
        </w:tblBorders>
        <w:tblLook w:val="04A0"/>
      </w:tblPr>
      <w:tblGrid>
        <w:gridCol w:w="1421"/>
        <w:gridCol w:w="1307"/>
        <w:gridCol w:w="2482"/>
        <w:gridCol w:w="238"/>
        <w:gridCol w:w="1814"/>
        <w:gridCol w:w="1458"/>
      </w:tblGrid>
      <w:tr w:rsidR="00F87902">
        <w:trPr>
          <w:jc w:val="center"/>
        </w:trPr>
        <w:tc>
          <w:tcPr>
            <w:tcW w:w="1422"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789"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6" w:type="dxa"/>
            <w:tcBorders>
              <w:top w:val="single" w:sz="18" w:space="0" w:color="00000A"/>
            </w:tcBorders>
            <w:shd w:val="clear" w:color="auto" w:fill="auto"/>
          </w:tcPr>
          <w:p w:rsidR="00F87902" w:rsidRDefault="00F87902">
            <w:pPr>
              <w:jc w:val="center"/>
              <w:rPr>
                <w:rFonts w:ascii="Arial" w:hAnsi="Arial" w:cs="Arial"/>
                <w:b/>
              </w:rPr>
            </w:pPr>
          </w:p>
        </w:tc>
        <w:tc>
          <w:tcPr>
            <w:tcW w:w="3272"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22"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307"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82"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8"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814"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5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22"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4.1</w:t>
            </w:r>
          </w:p>
        </w:tc>
        <w:tc>
          <w:tcPr>
            <w:tcW w:w="1307" w:type="dxa"/>
            <w:tcBorders>
              <w:top w:val="single" w:sz="12" w:space="0" w:color="00000A"/>
            </w:tcBorders>
            <w:shd w:val="clear" w:color="auto" w:fill="auto"/>
            <w:vAlign w:val="bottom"/>
          </w:tcPr>
          <w:p w:rsidR="00F87902" w:rsidRDefault="00A519F9">
            <w:pPr>
              <w:jc w:val="right"/>
              <w:rPr>
                <w:rFonts w:ascii="Arial" w:hAnsi="Arial" w:cs="Arial"/>
                <w:sz w:val="20"/>
                <w:szCs w:val="20"/>
              </w:rPr>
            </w:pPr>
            <w:r>
              <w:rPr>
                <w:rFonts w:ascii="Arial" w:hAnsi="Arial" w:cs="Arial"/>
                <w:sz w:val="20"/>
                <w:szCs w:val="20"/>
              </w:rPr>
              <w:t>1.915,4</w:t>
            </w:r>
          </w:p>
        </w:tc>
        <w:tc>
          <w:tcPr>
            <w:tcW w:w="2482" w:type="dxa"/>
            <w:tcBorders>
              <w:top w:val="single" w:sz="12" w:space="0" w:color="00000A"/>
            </w:tcBorders>
            <w:shd w:val="clear" w:color="auto" w:fill="auto"/>
            <w:vAlign w:val="bottom"/>
          </w:tcPr>
          <w:p w:rsidR="00F87902" w:rsidRDefault="00A519F9">
            <w:pPr>
              <w:ind w:left="283" w:right="907"/>
              <w:jc w:val="right"/>
              <w:rPr>
                <w:rFonts w:ascii="Arial" w:hAnsi="Arial" w:cs="Arial"/>
                <w:sz w:val="20"/>
                <w:szCs w:val="20"/>
              </w:rPr>
            </w:pPr>
            <w:r>
              <w:rPr>
                <w:rFonts w:ascii="Arial" w:hAnsi="Arial" w:cs="Arial"/>
                <w:sz w:val="20"/>
                <w:szCs w:val="20"/>
              </w:rPr>
              <w:t>2.886,7</w:t>
            </w:r>
          </w:p>
        </w:tc>
        <w:tc>
          <w:tcPr>
            <w:tcW w:w="238"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814"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108,6</w:t>
            </w:r>
          </w:p>
        </w:tc>
        <w:tc>
          <w:tcPr>
            <w:tcW w:w="1456"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3,8%</w:t>
            </w:r>
          </w:p>
        </w:tc>
      </w:tr>
      <w:tr w:rsidR="00F87902">
        <w:trPr>
          <w:jc w:val="center"/>
        </w:trPr>
        <w:tc>
          <w:tcPr>
            <w:tcW w:w="1422" w:type="dxa"/>
            <w:shd w:val="clear" w:color="auto" w:fill="auto"/>
          </w:tcPr>
          <w:p w:rsidR="00F87902" w:rsidRDefault="00F87902">
            <w:pPr>
              <w:jc w:val="center"/>
              <w:rPr>
                <w:rFonts w:ascii="Arial" w:hAnsi="Arial" w:cs="Arial"/>
                <w:b/>
                <w:sz w:val="20"/>
                <w:szCs w:val="20"/>
              </w:rPr>
            </w:pPr>
          </w:p>
        </w:tc>
        <w:tc>
          <w:tcPr>
            <w:tcW w:w="1307" w:type="dxa"/>
            <w:shd w:val="clear" w:color="auto" w:fill="auto"/>
            <w:vAlign w:val="bottom"/>
          </w:tcPr>
          <w:p w:rsidR="00F87902" w:rsidRDefault="00F87902">
            <w:pPr>
              <w:ind w:left="283" w:right="227"/>
              <w:jc w:val="right"/>
              <w:rPr>
                <w:rFonts w:ascii="Arial" w:hAnsi="Arial" w:cs="Arial"/>
                <w:sz w:val="20"/>
                <w:szCs w:val="20"/>
              </w:rPr>
            </w:pPr>
          </w:p>
        </w:tc>
        <w:tc>
          <w:tcPr>
            <w:tcW w:w="2482" w:type="dxa"/>
            <w:shd w:val="clear" w:color="auto" w:fill="auto"/>
            <w:vAlign w:val="bottom"/>
          </w:tcPr>
          <w:p w:rsidR="00F87902" w:rsidRDefault="00F87902">
            <w:pPr>
              <w:ind w:left="283" w:right="907"/>
              <w:jc w:val="right"/>
              <w:rPr>
                <w:rFonts w:ascii="Arial" w:hAnsi="Arial" w:cs="Arial"/>
                <w:sz w:val="20"/>
                <w:szCs w:val="20"/>
              </w:rPr>
            </w:pPr>
          </w:p>
        </w:tc>
        <w:tc>
          <w:tcPr>
            <w:tcW w:w="238" w:type="dxa"/>
            <w:shd w:val="clear" w:color="auto" w:fill="auto"/>
          </w:tcPr>
          <w:p w:rsidR="00F87902" w:rsidRDefault="00F87902">
            <w:pPr>
              <w:jc w:val="right"/>
              <w:rPr>
                <w:rFonts w:ascii="Arial" w:hAnsi="Arial" w:cs="Arial"/>
                <w:color w:val="0070C0"/>
                <w:sz w:val="20"/>
                <w:szCs w:val="20"/>
              </w:rPr>
            </w:pPr>
          </w:p>
        </w:tc>
        <w:tc>
          <w:tcPr>
            <w:tcW w:w="1814" w:type="dxa"/>
            <w:shd w:val="clear" w:color="auto" w:fill="auto"/>
            <w:vAlign w:val="bottom"/>
          </w:tcPr>
          <w:p w:rsidR="00F87902" w:rsidRDefault="00F87902">
            <w:pPr>
              <w:ind w:left="283" w:right="397"/>
              <w:jc w:val="right"/>
              <w:rPr>
                <w:rFonts w:ascii="Arial" w:hAnsi="Arial" w:cs="Arial"/>
                <w:sz w:val="20"/>
                <w:szCs w:val="20"/>
              </w:rPr>
            </w:pPr>
          </w:p>
        </w:tc>
        <w:tc>
          <w:tcPr>
            <w:tcW w:w="1456" w:type="dxa"/>
            <w:shd w:val="clear" w:color="auto" w:fill="auto"/>
            <w:vAlign w:val="bottom"/>
          </w:tcPr>
          <w:p w:rsidR="00F87902" w:rsidRDefault="00F87902">
            <w:pPr>
              <w:ind w:left="283" w:right="397"/>
              <w:jc w:val="right"/>
              <w:rPr>
                <w:rFonts w:ascii="Arial" w:hAnsi="Arial" w:cs="Arial"/>
                <w:sz w:val="20"/>
                <w:szCs w:val="20"/>
              </w:rPr>
            </w:pPr>
          </w:p>
        </w:tc>
      </w:tr>
      <w:tr w:rsidR="00F87902">
        <w:trPr>
          <w:jc w:val="center"/>
        </w:trPr>
        <w:tc>
          <w:tcPr>
            <w:tcW w:w="1422"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4</w:t>
            </w:r>
          </w:p>
        </w:tc>
        <w:tc>
          <w:tcPr>
            <w:tcW w:w="1307" w:type="dxa"/>
            <w:tcBorders>
              <w:top w:val="single" w:sz="18" w:space="0" w:color="00000A"/>
              <w:bottom w:val="single" w:sz="18" w:space="0" w:color="00000A"/>
            </w:tcBorders>
            <w:shd w:val="clear" w:color="auto" w:fill="auto"/>
          </w:tcPr>
          <w:p w:rsidR="00F87902" w:rsidRDefault="00A519F9">
            <w:pPr>
              <w:jc w:val="right"/>
              <w:rPr>
                <w:rFonts w:ascii="Arial" w:hAnsi="Arial" w:cs="Arial"/>
                <w:b/>
                <w:sz w:val="20"/>
                <w:szCs w:val="20"/>
              </w:rPr>
            </w:pPr>
            <w:r>
              <w:rPr>
                <w:rFonts w:ascii="Arial" w:hAnsi="Arial" w:cs="Arial"/>
                <w:b/>
                <w:sz w:val="20"/>
                <w:szCs w:val="20"/>
              </w:rPr>
              <w:t>1.915,4</w:t>
            </w:r>
          </w:p>
        </w:tc>
        <w:tc>
          <w:tcPr>
            <w:tcW w:w="2482" w:type="dxa"/>
            <w:tcBorders>
              <w:top w:val="single" w:sz="18" w:space="0" w:color="00000A"/>
              <w:bottom w:val="single" w:sz="18" w:space="0" w:color="00000A"/>
            </w:tcBorders>
            <w:shd w:val="clear" w:color="auto" w:fill="auto"/>
          </w:tcPr>
          <w:p w:rsidR="00F87902" w:rsidRDefault="00A519F9">
            <w:pPr>
              <w:ind w:left="283" w:right="907"/>
              <w:jc w:val="right"/>
              <w:rPr>
                <w:rFonts w:ascii="Arial" w:hAnsi="Arial" w:cs="Arial"/>
                <w:b/>
                <w:sz w:val="20"/>
                <w:szCs w:val="20"/>
              </w:rPr>
            </w:pPr>
            <w:r>
              <w:rPr>
                <w:rFonts w:ascii="Arial" w:hAnsi="Arial" w:cs="Arial"/>
                <w:b/>
                <w:sz w:val="20"/>
                <w:szCs w:val="20"/>
              </w:rPr>
              <w:t>2.886,7</w:t>
            </w:r>
          </w:p>
        </w:tc>
        <w:tc>
          <w:tcPr>
            <w:tcW w:w="238"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814"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108,6</w:t>
            </w:r>
          </w:p>
        </w:tc>
        <w:tc>
          <w:tcPr>
            <w:tcW w:w="1456"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3,8%</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pStyle w:val="Encabezado1"/>
        <w:spacing w:line="360" w:lineRule="auto"/>
        <w:jc w:val="left"/>
        <w:rPr>
          <w:rFonts w:ascii="Arial" w:hAnsi="Arial" w:cs="Arial"/>
          <w:b w:val="0"/>
          <w:sz w:val="24"/>
          <w:szCs w:val="24"/>
          <w:u w:val="single"/>
        </w:rPr>
      </w:pPr>
    </w:p>
    <w:p w:rsidR="00F87902" w:rsidRDefault="00F87902">
      <w:pPr>
        <w:pStyle w:val="Encabezado1"/>
        <w:spacing w:line="360" w:lineRule="auto"/>
        <w:jc w:val="left"/>
        <w:rPr>
          <w:rFonts w:ascii="Arial" w:hAnsi="Arial" w:cs="Arial"/>
          <w:b w:val="0"/>
          <w:sz w:val="24"/>
          <w:szCs w:val="24"/>
          <w:u w:val="single"/>
        </w:rPr>
      </w:pPr>
    </w:p>
    <w:p w:rsidR="00F87902" w:rsidRDefault="00A519F9">
      <w:r>
        <w:br w:type="page"/>
      </w:r>
    </w:p>
    <w:p w:rsidR="00F87902" w:rsidRDefault="00A519F9">
      <w:pPr>
        <w:pStyle w:val="Encabezado1"/>
        <w:spacing w:line="360" w:lineRule="auto"/>
        <w:jc w:val="left"/>
        <w:rPr>
          <w:rFonts w:ascii="Arial" w:hAnsi="Arial" w:cs="Arial"/>
          <w:b w:val="0"/>
          <w:sz w:val="24"/>
          <w:szCs w:val="24"/>
          <w:u w:val="single"/>
        </w:rPr>
      </w:pPr>
      <w:bookmarkStart w:id="59" w:name="_Toc205107617"/>
      <w:bookmarkStart w:id="60" w:name="_Toc348683624"/>
      <w:bookmarkStart w:id="61" w:name="_Toc237747464"/>
      <w:bookmarkStart w:id="62" w:name="_Toc205107636"/>
      <w:bookmarkStart w:id="63" w:name="_Toc205107165"/>
      <w:bookmarkStart w:id="64" w:name="_Toc205107001"/>
      <w:bookmarkStart w:id="65" w:name="_Toc205106826"/>
      <w:bookmarkStart w:id="66" w:name="_Toc205107271"/>
      <w:bookmarkEnd w:id="59"/>
      <w:bookmarkEnd w:id="60"/>
      <w:bookmarkEnd w:id="61"/>
      <w:bookmarkEnd w:id="62"/>
      <w:bookmarkEnd w:id="63"/>
      <w:bookmarkEnd w:id="64"/>
      <w:bookmarkEnd w:id="65"/>
      <w:bookmarkEnd w:id="66"/>
      <w:r>
        <w:rPr>
          <w:rFonts w:ascii="Arial" w:hAnsi="Arial" w:cs="Arial"/>
          <w:b w:val="0"/>
          <w:sz w:val="24"/>
          <w:szCs w:val="24"/>
          <w:u w:val="single"/>
        </w:rPr>
        <w:lastRenderedPageBreak/>
        <w:t>Programa Administrativo:</w:t>
      </w:r>
    </w:p>
    <w:p w:rsidR="00F87902" w:rsidRDefault="00F87902">
      <w:pPr>
        <w:spacing w:line="360" w:lineRule="auto"/>
        <w:jc w:val="both"/>
        <w:rPr>
          <w:rFonts w:ascii="Arial" w:hAnsi="Arial" w:cs="Arial"/>
          <w:sz w:val="8"/>
          <w:u w:val="single"/>
        </w:rPr>
      </w:pPr>
    </w:p>
    <w:p w:rsidR="00F87902" w:rsidRDefault="00F87902">
      <w:pPr>
        <w:spacing w:line="360" w:lineRule="auto"/>
        <w:jc w:val="both"/>
        <w:rPr>
          <w:rFonts w:ascii="Arial" w:hAnsi="Arial" w:cs="Arial"/>
          <w:sz w:val="8"/>
          <w:u w:val="single"/>
        </w:rPr>
      </w:pPr>
    </w:p>
    <w:p w:rsidR="00F87902" w:rsidRDefault="00A519F9">
      <w:pPr>
        <w:spacing w:line="360" w:lineRule="auto"/>
        <w:jc w:val="both"/>
        <w:rPr>
          <w:rFonts w:ascii="Calibri" w:hAnsi="Calibri"/>
          <w:sz w:val="22"/>
          <w:szCs w:val="22"/>
        </w:rPr>
      </w:pPr>
      <w:r>
        <w:rPr>
          <w:rFonts w:ascii="Arial" w:hAnsi="Arial" w:cs="Arial"/>
        </w:rPr>
        <w:t xml:space="preserve">Por último, el programa Administrativo cuenta con una asignación presupuestaria de    </w:t>
      </w:r>
      <w:r>
        <w:rPr>
          <w:rFonts w:ascii="Tahoma" w:hAnsi="Tahoma" w:cs="Tahoma"/>
        </w:rPr>
        <w:t>₡</w:t>
      </w:r>
      <w:r>
        <w:rPr>
          <w:rFonts w:ascii="Arial" w:hAnsi="Arial" w:cs="Arial"/>
          <w:lang w:val="es-CR" w:eastAsia="es-CR"/>
        </w:rPr>
        <w:t xml:space="preserve">31.954,9 </w:t>
      </w:r>
      <w:r>
        <w:rPr>
          <w:rFonts w:ascii="Arial" w:hAnsi="Arial" w:cs="Arial"/>
        </w:rPr>
        <w:t xml:space="preserve">millones, de los cuales se ejecutaron en el año 2015 </w:t>
      </w:r>
      <w:r>
        <w:rPr>
          <w:rFonts w:ascii="Tahoma" w:hAnsi="Tahoma" w:cs="Tahoma"/>
        </w:rPr>
        <w:t>₡</w:t>
      </w:r>
      <w:r>
        <w:rPr>
          <w:rFonts w:ascii="Arial" w:hAnsi="Arial" w:cs="Arial"/>
        </w:rPr>
        <w:t xml:space="preserve">25.045,9 millones, correspondiente a un nivel de ejecución del </w:t>
      </w:r>
      <w:r>
        <w:rPr>
          <w:rFonts w:ascii="Arial" w:hAnsi="Arial" w:cs="Arial"/>
          <w:b/>
        </w:rPr>
        <w:t>78,4%</w:t>
      </w:r>
      <w:r>
        <w:rPr>
          <w:rFonts w:ascii="Arial" w:hAnsi="Arial" w:cs="Arial"/>
          <w:lang w:val="es-CR" w:eastAsia="es-CR"/>
        </w:rPr>
        <w:t>.</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t>GRÁFICO Nº 5</w:t>
      </w:r>
    </w:p>
    <w:p w:rsidR="00F87902" w:rsidRDefault="00A519F9">
      <w:pPr>
        <w:jc w:val="center"/>
        <w:rPr>
          <w:rFonts w:ascii="Arial" w:hAnsi="Arial" w:cs="Arial"/>
          <w:b/>
        </w:rPr>
      </w:pPr>
      <w:r>
        <w:rPr>
          <w:rFonts w:ascii="Arial" w:hAnsi="Arial" w:cs="Arial"/>
          <w:b/>
        </w:rPr>
        <w:t>PROGRAMA ADMINISTRATIVO</w:t>
      </w:r>
    </w:p>
    <w:p w:rsidR="00F87902" w:rsidRDefault="00A519F9">
      <w:pPr>
        <w:jc w:val="center"/>
        <w:rPr>
          <w:rFonts w:ascii="Arial" w:hAnsi="Arial" w:cs="Arial"/>
          <w:b/>
        </w:rPr>
      </w:pPr>
      <w:r>
        <w:rPr>
          <w:rFonts w:ascii="Arial" w:hAnsi="Arial" w:cs="Arial"/>
          <w:b/>
        </w:rPr>
        <w:t xml:space="preserve">ASIGNACIÓN Y EJECUCIÓN </w:t>
      </w:r>
    </w:p>
    <w:p w:rsidR="00F87902" w:rsidRDefault="00A519F9">
      <w:pPr>
        <w:jc w:val="center"/>
        <w:rPr>
          <w:rFonts w:ascii="Arial" w:hAnsi="Arial" w:cs="Arial"/>
          <w:b/>
          <w:lang w:val="es-CR" w:eastAsia="es-CR"/>
        </w:rPr>
      </w:pPr>
      <w:r>
        <w:rPr>
          <w:rFonts w:ascii="Arial" w:hAnsi="Arial" w:cs="Arial"/>
        </w:rPr>
        <w:t>–</w:t>
      </w:r>
      <w:r>
        <w:rPr>
          <w:rFonts w:ascii="Arial" w:hAnsi="Arial" w:cs="Arial"/>
          <w:b/>
        </w:rPr>
        <w:t>Al 31 de diciembre del 2015</w:t>
      </w:r>
      <w:r>
        <w:rPr>
          <w:rFonts w:ascii="Arial" w:hAnsi="Arial" w:cs="Arial"/>
        </w:rPr>
        <w:t>–</w:t>
      </w:r>
    </w:p>
    <w:p w:rsidR="00F87902" w:rsidRDefault="00A519F9">
      <w:pPr>
        <w:jc w:val="center"/>
        <w:rPr>
          <w:rFonts w:ascii="Arial" w:hAnsi="Arial" w:cs="Arial"/>
          <w:b/>
        </w:rPr>
      </w:pPr>
      <w:r>
        <w:rPr>
          <w:noProof/>
          <w:lang w:val="es-CR" w:eastAsia="es-CR"/>
        </w:rPr>
        <w:drawing>
          <wp:inline distT="0" distB="0" distL="0" distR="0">
            <wp:extent cx="4227195" cy="2741930"/>
            <wp:effectExtent l="0" t="0" r="1905" b="12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7902" w:rsidRDefault="00A519F9">
      <w:pPr>
        <w:spacing w:line="360" w:lineRule="auto"/>
        <w:ind w:left="851" w:firstLine="283"/>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b/>
          <w:color w:val="0070C0"/>
        </w:rPr>
      </w:pPr>
      <w:r>
        <w:rPr>
          <w:rFonts w:ascii="Arial" w:hAnsi="Arial" w:cs="Arial"/>
        </w:rPr>
        <w:t>En el cuadro que se presenta seguidamente se puede observar el grado de ejecución porcentual de cada uno de los objetivos del Programa Administrativo al 31 de diciembre del 2015.</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rPr>
          <w:rFonts w:ascii="Arial" w:hAnsi="Arial" w:cs="Arial"/>
          <w:b/>
        </w:rPr>
      </w:pPr>
      <w:r>
        <w:rPr>
          <w:rFonts w:ascii="Arial" w:hAnsi="Arial" w:cs="Arial"/>
          <w:b/>
        </w:rPr>
        <w:lastRenderedPageBreak/>
        <w:t>CUADRO N°14</w:t>
      </w:r>
    </w:p>
    <w:p w:rsidR="00F87902" w:rsidRDefault="00A519F9">
      <w:pPr>
        <w:jc w:val="center"/>
        <w:rPr>
          <w:rFonts w:ascii="Arial" w:hAnsi="Arial" w:cs="Arial"/>
          <w:b/>
        </w:rPr>
      </w:pPr>
      <w:r>
        <w:rPr>
          <w:rFonts w:ascii="Arial" w:hAnsi="Arial" w:cs="Arial"/>
          <w:b/>
        </w:rPr>
        <w:t>PROGRAMA ADMINISTRATIVO</w:t>
      </w:r>
    </w:p>
    <w:p w:rsidR="00F87902" w:rsidRDefault="00F87902">
      <w:pPr>
        <w:jc w:val="center"/>
        <w:rPr>
          <w:rFonts w:ascii="Arial" w:hAnsi="Arial" w:cs="Arial"/>
          <w:b/>
        </w:rPr>
      </w:pP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sz w:val="22"/>
          <w:szCs w:val="22"/>
        </w:rPr>
      </w:pPr>
    </w:p>
    <w:tbl>
      <w:tblPr>
        <w:tblW w:w="8720" w:type="dxa"/>
        <w:jc w:val="center"/>
        <w:tblBorders>
          <w:top w:val="single" w:sz="18" w:space="0" w:color="00000A"/>
        </w:tblBorders>
        <w:tblLook w:val="04A0"/>
      </w:tblPr>
      <w:tblGrid>
        <w:gridCol w:w="1396"/>
        <w:gridCol w:w="1505"/>
        <w:gridCol w:w="2358"/>
        <w:gridCol w:w="232"/>
        <w:gridCol w:w="1783"/>
        <w:gridCol w:w="1446"/>
      </w:tblGrid>
      <w:tr w:rsidR="00F87902">
        <w:trPr>
          <w:jc w:val="center"/>
        </w:trPr>
        <w:tc>
          <w:tcPr>
            <w:tcW w:w="1396"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 xml:space="preserve">Objetivos </w:t>
            </w:r>
          </w:p>
        </w:tc>
        <w:tc>
          <w:tcPr>
            <w:tcW w:w="3863"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28"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96"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50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358"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1"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83"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4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96"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1</w:t>
            </w:r>
          </w:p>
        </w:tc>
        <w:tc>
          <w:tcPr>
            <w:tcW w:w="1505" w:type="dxa"/>
            <w:tcBorders>
              <w:top w:val="single" w:sz="12" w:space="0" w:color="00000A"/>
            </w:tcBorders>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21.303,4</w:t>
            </w:r>
          </w:p>
        </w:tc>
        <w:tc>
          <w:tcPr>
            <w:tcW w:w="2358" w:type="dxa"/>
            <w:tcBorders>
              <w:top w:val="single" w:sz="12" w:space="0" w:color="00000A"/>
            </w:tcBorders>
            <w:shd w:val="clear" w:color="auto" w:fill="auto"/>
            <w:vAlign w:val="bottom"/>
          </w:tcPr>
          <w:p w:rsidR="00F87902" w:rsidRDefault="00A519F9">
            <w:pPr>
              <w:ind w:left="283" w:right="680"/>
              <w:jc w:val="right"/>
              <w:rPr>
                <w:rFonts w:ascii="Arial" w:hAnsi="Arial" w:cs="Arial"/>
                <w:sz w:val="20"/>
                <w:szCs w:val="20"/>
              </w:rPr>
            </w:pPr>
            <w:r>
              <w:rPr>
                <w:rFonts w:ascii="Arial" w:hAnsi="Arial" w:cs="Arial"/>
                <w:sz w:val="20"/>
                <w:szCs w:val="20"/>
              </w:rPr>
              <w:t>13.401,2</w:t>
            </w:r>
          </w:p>
        </w:tc>
        <w:tc>
          <w:tcPr>
            <w:tcW w:w="231"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83"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12.162,9</w:t>
            </w:r>
          </w:p>
        </w:tc>
        <w:tc>
          <w:tcPr>
            <w:tcW w:w="1446"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90,8%</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2</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8.861,8</w:t>
            </w:r>
          </w:p>
        </w:tc>
        <w:tc>
          <w:tcPr>
            <w:tcW w:w="2358" w:type="dxa"/>
            <w:shd w:val="clear" w:color="auto" w:fill="auto"/>
            <w:vAlign w:val="bottom"/>
          </w:tcPr>
          <w:p w:rsidR="00F87902" w:rsidRDefault="00A519F9">
            <w:pPr>
              <w:ind w:left="283" w:right="680"/>
              <w:jc w:val="right"/>
              <w:rPr>
                <w:rFonts w:ascii="Arial" w:hAnsi="Arial" w:cs="Arial"/>
                <w:sz w:val="20"/>
                <w:szCs w:val="20"/>
              </w:rPr>
            </w:pPr>
            <w:r>
              <w:rPr>
                <w:rFonts w:ascii="Arial" w:hAnsi="Arial" w:cs="Arial"/>
                <w:sz w:val="20"/>
                <w:szCs w:val="20"/>
              </w:rPr>
              <w:t>11.201,6</w:t>
            </w:r>
          </w:p>
        </w:tc>
        <w:tc>
          <w:tcPr>
            <w:tcW w:w="231" w:type="dxa"/>
            <w:shd w:val="clear" w:color="auto" w:fill="auto"/>
          </w:tcPr>
          <w:p w:rsidR="00F87902" w:rsidRDefault="00F87902">
            <w:pPr>
              <w:jc w:val="center"/>
              <w:rPr>
                <w:rFonts w:ascii="Arial" w:hAnsi="Arial" w:cs="Arial"/>
                <w:color w:val="0070C0"/>
                <w:sz w:val="20"/>
                <w:szCs w:val="20"/>
              </w:rPr>
            </w:pPr>
          </w:p>
        </w:tc>
        <w:tc>
          <w:tcPr>
            <w:tcW w:w="178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8.975,8</w:t>
            </w:r>
          </w:p>
        </w:tc>
        <w:tc>
          <w:tcPr>
            <w:tcW w:w="1446"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80,1%</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3</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1.728,2</w:t>
            </w:r>
          </w:p>
        </w:tc>
        <w:tc>
          <w:tcPr>
            <w:tcW w:w="2358" w:type="dxa"/>
            <w:shd w:val="clear" w:color="auto" w:fill="auto"/>
            <w:vAlign w:val="bottom"/>
          </w:tcPr>
          <w:p w:rsidR="00F87902" w:rsidRDefault="00A519F9">
            <w:pPr>
              <w:ind w:left="283" w:right="680"/>
              <w:jc w:val="right"/>
              <w:rPr>
                <w:rFonts w:ascii="Arial" w:hAnsi="Arial" w:cs="Arial"/>
                <w:sz w:val="20"/>
                <w:szCs w:val="20"/>
              </w:rPr>
            </w:pPr>
            <w:r>
              <w:rPr>
                <w:rFonts w:ascii="Arial" w:hAnsi="Arial" w:cs="Arial"/>
                <w:sz w:val="20"/>
                <w:szCs w:val="20"/>
              </w:rPr>
              <w:t>2.062,3</w:t>
            </w:r>
          </w:p>
        </w:tc>
        <w:tc>
          <w:tcPr>
            <w:tcW w:w="231" w:type="dxa"/>
            <w:shd w:val="clear" w:color="auto" w:fill="auto"/>
          </w:tcPr>
          <w:p w:rsidR="00F87902" w:rsidRDefault="00F87902">
            <w:pPr>
              <w:jc w:val="center"/>
              <w:rPr>
                <w:rFonts w:ascii="Arial" w:hAnsi="Arial" w:cs="Arial"/>
                <w:color w:val="0070C0"/>
                <w:sz w:val="20"/>
                <w:szCs w:val="20"/>
              </w:rPr>
            </w:pPr>
          </w:p>
        </w:tc>
        <w:tc>
          <w:tcPr>
            <w:tcW w:w="178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1.634,2</w:t>
            </w:r>
          </w:p>
        </w:tc>
        <w:tc>
          <w:tcPr>
            <w:tcW w:w="1446"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79,2%</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4</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3.937,3</w:t>
            </w:r>
          </w:p>
        </w:tc>
        <w:tc>
          <w:tcPr>
            <w:tcW w:w="2358" w:type="dxa"/>
            <w:shd w:val="clear" w:color="auto" w:fill="auto"/>
            <w:vAlign w:val="bottom"/>
          </w:tcPr>
          <w:p w:rsidR="00F87902" w:rsidRDefault="00A519F9">
            <w:pPr>
              <w:ind w:left="283" w:right="680"/>
              <w:jc w:val="right"/>
              <w:rPr>
                <w:rFonts w:ascii="Arial" w:hAnsi="Arial" w:cs="Arial"/>
                <w:sz w:val="20"/>
                <w:szCs w:val="20"/>
              </w:rPr>
            </w:pPr>
            <w:r>
              <w:rPr>
                <w:rFonts w:ascii="Arial" w:hAnsi="Arial" w:cs="Arial"/>
                <w:sz w:val="20"/>
                <w:szCs w:val="20"/>
              </w:rPr>
              <w:t>5.289,8</w:t>
            </w:r>
          </w:p>
        </w:tc>
        <w:tc>
          <w:tcPr>
            <w:tcW w:w="231" w:type="dxa"/>
            <w:shd w:val="clear" w:color="auto" w:fill="auto"/>
          </w:tcPr>
          <w:p w:rsidR="00F87902" w:rsidRDefault="00F87902">
            <w:pPr>
              <w:jc w:val="center"/>
              <w:rPr>
                <w:rFonts w:ascii="Arial" w:hAnsi="Arial" w:cs="Arial"/>
                <w:color w:val="0070C0"/>
                <w:sz w:val="20"/>
                <w:szCs w:val="20"/>
              </w:rPr>
            </w:pPr>
          </w:p>
        </w:tc>
        <w:tc>
          <w:tcPr>
            <w:tcW w:w="178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2.273,0</w:t>
            </w:r>
          </w:p>
        </w:tc>
        <w:tc>
          <w:tcPr>
            <w:tcW w:w="1446"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43,0%</w:t>
            </w:r>
          </w:p>
        </w:tc>
      </w:tr>
      <w:tr w:rsidR="00F87902">
        <w:trPr>
          <w:jc w:val="center"/>
        </w:trPr>
        <w:tc>
          <w:tcPr>
            <w:tcW w:w="1396" w:type="dxa"/>
            <w:shd w:val="clear" w:color="auto" w:fill="auto"/>
          </w:tcPr>
          <w:p w:rsidR="00F87902" w:rsidRDefault="00F87902">
            <w:pPr>
              <w:jc w:val="center"/>
              <w:rPr>
                <w:rFonts w:ascii="Arial" w:hAnsi="Arial" w:cs="Arial"/>
                <w:b/>
                <w:sz w:val="20"/>
                <w:szCs w:val="20"/>
              </w:rPr>
            </w:pPr>
          </w:p>
        </w:tc>
        <w:tc>
          <w:tcPr>
            <w:tcW w:w="1505" w:type="dxa"/>
            <w:shd w:val="clear" w:color="auto" w:fill="auto"/>
            <w:vAlign w:val="bottom"/>
          </w:tcPr>
          <w:p w:rsidR="00F87902" w:rsidRDefault="00F87902">
            <w:pPr>
              <w:ind w:left="283" w:right="227"/>
              <w:jc w:val="right"/>
              <w:rPr>
                <w:rFonts w:ascii="Arial" w:hAnsi="Arial" w:cs="Arial"/>
                <w:sz w:val="20"/>
                <w:szCs w:val="20"/>
              </w:rPr>
            </w:pPr>
          </w:p>
        </w:tc>
        <w:tc>
          <w:tcPr>
            <w:tcW w:w="2358" w:type="dxa"/>
            <w:shd w:val="clear" w:color="auto" w:fill="auto"/>
            <w:vAlign w:val="bottom"/>
          </w:tcPr>
          <w:p w:rsidR="00F87902" w:rsidRDefault="00F87902">
            <w:pPr>
              <w:ind w:left="283" w:right="680"/>
              <w:jc w:val="right"/>
              <w:rPr>
                <w:rFonts w:ascii="Arial" w:hAnsi="Arial" w:cs="Arial"/>
                <w:sz w:val="20"/>
                <w:szCs w:val="20"/>
              </w:rPr>
            </w:pPr>
          </w:p>
        </w:tc>
        <w:tc>
          <w:tcPr>
            <w:tcW w:w="231" w:type="dxa"/>
            <w:shd w:val="clear" w:color="auto" w:fill="auto"/>
          </w:tcPr>
          <w:p w:rsidR="00F87902" w:rsidRDefault="00F87902">
            <w:pPr>
              <w:jc w:val="center"/>
              <w:rPr>
                <w:rFonts w:ascii="Arial" w:hAnsi="Arial" w:cs="Arial"/>
                <w:color w:val="0070C0"/>
                <w:sz w:val="20"/>
                <w:szCs w:val="20"/>
              </w:rPr>
            </w:pPr>
          </w:p>
        </w:tc>
        <w:tc>
          <w:tcPr>
            <w:tcW w:w="1783" w:type="dxa"/>
            <w:shd w:val="clear" w:color="auto" w:fill="auto"/>
            <w:vAlign w:val="bottom"/>
          </w:tcPr>
          <w:p w:rsidR="00F87902" w:rsidRDefault="00F87902">
            <w:pPr>
              <w:ind w:left="283" w:right="397"/>
              <w:jc w:val="right"/>
              <w:rPr>
                <w:rFonts w:ascii="Arial" w:hAnsi="Arial" w:cs="Arial"/>
                <w:sz w:val="20"/>
                <w:szCs w:val="20"/>
              </w:rPr>
            </w:pPr>
          </w:p>
        </w:tc>
        <w:tc>
          <w:tcPr>
            <w:tcW w:w="1446" w:type="dxa"/>
            <w:shd w:val="clear" w:color="auto" w:fill="auto"/>
            <w:vAlign w:val="bottom"/>
          </w:tcPr>
          <w:p w:rsidR="00F87902" w:rsidRDefault="00F87902">
            <w:pPr>
              <w:ind w:left="283" w:right="340"/>
              <w:jc w:val="right"/>
              <w:rPr>
                <w:rFonts w:ascii="Arial" w:hAnsi="Arial" w:cs="Arial"/>
                <w:sz w:val="20"/>
                <w:szCs w:val="20"/>
              </w:rPr>
            </w:pPr>
          </w:p>
        </w:tc>
      </w:tr>
      <w:tr w:rsidR="00F87902">
        <w:trPr>
          <w:jc w:val="center"/>
        </w:trPr>
        <w:tc>
          <w:tcPr>
            <w:tcW w:w="1396"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Total</w:t>
            </w:r>
          </w:p>
        </w:tc>
        <w:tc>
          <w:tcPr>
            <w:tcW w:w="1505"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35.830,7</w:t>
            </w:r>
          </w:p>
        </w:tc>
        <w:tc>
          <w:tcPr>
            <w:tcW w:w="2358" w:type="dxa"/>
            <w:tcBorders>
              <w:top w:val="single" w:sz="18" w:space="0" w:color="00000A"/>
              <w:bottom w:val="single" w:sz="18" w:space="0" w:color="00000A"/>
            </w:tcBorders>
            <w:shd w:val="clear" w:color="auto" w:fill="auto"/>
          </w:tcPr>
          <w:p w:rsidR="00F87902" w:rsidRDefault="00A519F9">
            <w:pPr>
              <w:ind w:left="283" w:right="680"/>
              <w:jc w:val="right"/>
              <w:rPr>
                <w:rFonts w:ascii="Arial" w:hAnsi="Arial" w:cs="Arial"/>
                <w:b/>
                <w:sz w:val="20"/>
                <w:szCs w:val="20"/>
              </w:rPr>
            </w:pPr>
            <w:r>
              <w:rPr>
                <w:rFonts w:ascii="Arial" w:hAnsi="Arial" w:cs="Arial"/>
                <w:b/>
                <w:sz w:val="20"/>
                <w:szCs w:val="20"/>
              </w:rPr>
              <w:t>31.954,9</w:t>
            </w:r>
          </w:p>
        </w:tc>
        <w:tc>
          <w:tcPr>
            <w:tcW w:w="231"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783"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25.045,9</w:t>
            </w:r>
          </w:p>
        </w:tc>
        <w:tc>
          <w:tcPr>
            <w:tcW w:w="1446"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78,4%</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0"/>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rPr>
      </w:pPr>
    </w:p>
    <w:p w:rsidR="00F87902" w:rsidRDefault="00A519F9">
      <w:pPr>
        <w:spacing w:line="360" w:lineRule="auto"/>
        <w:jc w:val="both"/>
        <w:rPr>
          <w:rFonts w:ascii="Arial" w:hAnsi="Arial" w:cs="Arial"/>
        </w:rPr>
      </w:pPr>
      <w:r>
        <w:rPr>
          <w:rFonts w:ascii="Arial" w:hAnsi="Arial" w:cs="Arial"/>
        </w:rPr>
        <w:t>A continuación se presenta el resumen de ejecución del desempeño por objetivos y metas para el año 2015:</w:t>
      </w: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1. Fortalecer la gestión orientada a la simplificación y la articulación de los procesos institucionales, en concordancia con la visión estratégica.</w:t>
      </w:r>
    </w:p>
    <w:p w:rsidR="00F87902" w:rsidRDefault="00F87902">
      <w:pPr>
        <w:rPr>
          <w:rFonts w:ascii="Arial" w:hAnsi="Arial" w:cs="Arial"/>
          <w:b/>
          <w:i/>
        </w:rPr>
      </w:pPr>
    </w:p>
    <w:p w:rsidR="00F87902" w:rsidRDefault="00F87902">
      <w:pPr>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1.1 Realizar 79 actividades tendientes al fortalecimiento de la planificación institucional y el apoyo a la gestión académica, para una eficiente asignación, ejecución y seguimiento de los recursos asignados.</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 atención de actividades (101) en este ámbito presenta un cumplimiento del </w:t>
      </w:r>
      <w:r>
        <w:rPr>
          <w:rFonts w:ascii="Arial" w:hAnsi="Arial" w:cs="Arial"/>
          <w:b/>
          <w:sz w:val="22"/>
          <w:szCs w:val="22"/>
        </w:rPr>
        <w:t>100%</w:t>
      </w:r>
      <w:r>
        <w:rPr>
          <w:rFonts w:ascii="Arial" w:hAnsi="Arial" w:cs="Arial"/>
          <w:sz w:val="22"/>
          <w:szCs w:val="22"/>
        </w:rPr>
        <w:t>. A continuación un desglose que lo ilustra:</w:t>
      </w:r>
    </w:p>
    <w:p w:rsidR="00F87902" w:rsidRDefault="00F87902">
      <w:pPr>
        <w:ind w:left="708"/>
        <w:jc w:val="both"/>
        <w:rPr>
          <w:rFonts w:ascii="Arial" w:hAnsi="Arial" w:cs="Arial"/>
          <w:b/>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Área de Planificación Económica.</w:t>
      </w:r>
    </w:p>
    <w:p w:rsidR="00F87902" w:rsidRDefault="00F87902">
      <w:pPr>
        <w:ind w:left="708"/>
        <w:jc w:val="both"/>
        <w:rPr>
          <w:rFonts w:ascii="Arial" w:hAnsi="Arial" w:cs="Arial"/>
          <w:b/>
          <w:i/>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informe de seguimiento</w:t>
      </w:r>
      <w:r>
        <w:rPr>
          <w:rFonts w:ascii="Arial" w:hAnsi="Arial" w:cs="Arial"/>
          <w:sz w:val="22"/>
          <w:szCs w:val="22"/>
        </w:rPr>
        <w:t xml:space="preserve"> del Plan de Mediano Plazo Institucional 2013-2017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compilación de informe de labores</w:t>
      </w:r>
      <w:r>
        <w:rPr>
          <w:rFonts w:ascii="Arial" w:hAnsi="Arial" w:cs="Arial"/>
          <w:sz w:val="22"/>
          <w:szCs w:val="22"/>
        </w:rPr>
        <w:t xml:space="preserve"> de la Rectoría 2010-2015, presentado ante la Asamblea de Representantes en el mes de mayo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propuesta</w:t>
      </w:r>
      <w:r>
        <w:rPr>
          <w:rFonts w:ascii="Arial" w:hAnsi="Arial" w:cs="Arial"/>
          <w:sz w:val="22"/>
          <w:szCs w:val="22"/>
        </w:rPr>
        <w:t xml:space="preserve"> renovada del Sistema de Planificación para la UNA, en el marco del IV Congreso Universitario: en proceso en el marco de la Comisión de Planificación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propuesta</w:t>
      </w:r>
      <w:r>
        <w:rPr>
          <w:rFonts w:ascii="Arial" w:hAnsi="Arial" w:cs="Arial"/>
          <w:sz w:val="22"/>
          <w:szCs w:val="22"/>
        </w:rPr>
        <w:t xml:space="preserve"> sobre distribución de partidas concentradas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metodología</w:t>
      </w:r>
      <w:r>
        <w:rPr>
          <w:rFonts w:ascii="Arial" w:hAnsi="Arial" w:cs="Arial"/>
          <w:sz w:val="22"/>
          <w:szCs w:val="22"/>
        </w:rPr>
        <w:t xml:space="preserve"> de la formulación del Plan de Mediano Plazo 2017-2021 en la primera fase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plan</w:t>
      </w:r>
      <w:r>
        <w:rPr>
          <w:rFonts w:ascii="Arial" w:hAnsi="Arial" w:cs="Arial"/>
          <w:sz w:val="22"/>
          <w:szCs w:val="22"/>
        </w:rPr>
        <w:t xml:space="preserve"> para el abordaje institucional del manejo de información en el marco de desarrollo de inteligencia de negocios (</w:t>
      </w:r>
      <w:r>
        <w:rPr>
          <w:rFonts w:ascii="Arial" w:hAnsi="Arial" w:cs="Arial"/>
          <w:i/>
          <w:sz w:val="22"/>
          <w:szCs w:val="22"/>
        </w:rPr>
        <w:t>datawarehouse</w:t>
      </w:r>
      <w:r>
        <w:rPr>
          <w:rFonts w:ascii="Arial" w:hAnsi="Arial" w:cs="Arial"/>
          <w:sz w:val="22"/>
          <w:szCs w:val="22"/>
        </w:rPr>
        <w:t>),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informe de seguimiento</w:t>
      </w:r>
      <w:r>
        <w:rPr>
          <w:rFonts w:ascii="Arial" w:hAnsi="Arial" w:cs="Arial"/>
          <w:sz w:val="22"/>
          <w:szCs w:val="22"/>
        </w:rPr>
        <w:t xml:space="preserve"> del plan de fortalecimiento de estabilidad del sector académico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2 informes integrados</w:t>
      </w:r>
      <w:r>
        <w:rPr>
          <w:rFonts w:ascii="Arial" w:hAnsi="Arial" w:cs="Arial"/>
          <w:sz w:val="22"/>
          <w:szCs w:val="22"/>
        </w:rPr>
        <w:t xml:space="preserve"> sobre grado de cumplimiento de objetivos y metas del POAI, uno a diciembre del 2014 y el otro a junio del 2015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1 Plan</w:t>
      </w:r>
      <w:r>
        <w:rPr>
          <w:rFonts w:ascii="Arial" w:hAnsi="Arial" w:cs="Arial"/>
          <w:sz w:val="22"/>
          <w:szCs w:val="22"/>
        </w:rPr>
        <w:t xml:space="preserve"> operativo anual institucional integrado 2016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2 informes ejecutivos anuales</w:t>
      </w:r>
      <w:r>
        <w:rPr>
          <w:rFonts w:ascii="Arial" w:hAnsi="Arial" w:cs="Arial"/>
          <w:sz w:val="22"/>
          <w:szCs w:val="22"/>
        </w:rPr>
        <w:t xml:space="preserve">, uno sobre la gestión ASCI-UNA y el otro sobre gestión Sevri-UNA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Informe</w:t>
      </w:r>
      <w:r>
        <w:rPr>
          <w:rFonts w:ascii="Arial" w:hAnsi="Arial" w:cs="Arial"/>
          <w:sz w:val="22"/>
          <w:szCs w:val="22"/>
        </w:rPr>
        <w:t xml:space="preserve"> de estadísticas institucionales para dar seguimiento al </w:t>
      </w:r>
      <w:r>
        <w:rPr>
          <w:rFonts w:ascii="Arial" w:hAnsi="Arial" w:cs="Arial"/>
          <w:i/>
          <w:sz w:val="22"/>
          <w:szCs w:val="22"/>
        </w:rPr>
        <w:t>Planes</w:t>
      </w:r>
      <w:r>
        <w:rPr>
          <w:rFonts w:ascii="Arial" w:hAnsi="Arial" w:cs="Arial"/>
          <w:sz w:val="22"/>
          <w:szCs w:val="22"/>
        </w:rPr>
        <w:t xml:space="preserve">: trabajo desarrollado en el marco de la Subcomisión de Indicadores de </w:t>
      </w:r>
      <w:r>
        <w:rPr>
          <w:rFonts w:ascii="Arial" w:hAnsi="Arial" w:cs="Arial"/>
          <w:i/>
          <w:sz w:val="22"/>
          <w:szCs w:val="22"/>
        </w:rPr>
        <w:t>Conare</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4 algoritmos</w:t>
      </w:r>
      <w:r>
        <w:rPr>
          <w:rFonts w:ascii="Arial" w:hAnsi="Arial" w:cs="Arial"/>
          <w:sz w:val="22"/>
          <w:szCs w:val="22"/>
        </w:rPr>
        <w:t xml:space="preserve"> diferentes para la distribución de recursos: operación, compra de acervo bibliográfico, Fondo de fortalecimiento y renovación académica, y horas estudiante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25% de logro</w:t>
      </w:r>
      <w:r>
        <w:rPr>
          <w:rFonts w:ascii="Arial" w:hAnsi="Arial" w:cs="Arial"/>
          <w:sz w:val="22"/>
          <w:szCs w:val="22"/>
        </w:rPr>
        <w:t xml:space="preserve"> en la elaboración de una propuesta de mejora en la estructura programática (RG-08-2011).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2 informes de situación de reorganizaciones</w:t>
      </w:r>
      <w:r>
        <w:rPr>
          <w:rFonts w:ascii="Arial" w:hAnsi="Arial" w:cs="Arial"/>
          <w:sz w:val="22"/>
          <w:szCs w:val="22"/>
        </w:rPr>
        <w:t xml:space="preserve"> en proceso: informes de la Oficina de Cooperación Técnica Internacional y la Oficina de Transferencia Tecnológica y Vinculación Externa (67%).</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documento</w:t>
      </w:r>
      <w:r>
        <w:rPr>
          <w:rFonts w:ascii="Arial" w:hAnsi="Arial" w:cs="Arial"/>
          <w:sz w:val="22"/>
          <w:szCs w:val="22"/>
        </w:rPr>
        <w:t xml:space="preserve"> que contiene el cálculo del Índice de Gestión Institucional 2014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estudio de seguimiento anual</w:t>
      </w:r>
      <w:r>
        <w:rPr>
          <w:rFonts w:ascii="Arial" w:hAnsi="Arial" w:cs="Arial"/>
          <w:sz w:val="22"/>
          <w:szCs w:val="22"/>
        </w:rPr>
        <w:t xml:space="preserve"> a los indicadores establecidos en el marco del Proyecto de mejoramiento institucional (Banco Mundial),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estudio presupuestario</w:t>
      </w:r>
      <w:r>
        <w:rPr>
          <w:rFonts w:ascii="Arial" w:hAnsi="Arial" w:cs="Arial"/>
          <w:sz w:val="22"/>
          <w:szCs w:val="22"/>
        </w:rPr>
        <w:t xml:space="preserve"> que estime la sostenibilidad del fondo de becas estudiantil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2 estudios de índole financiera </w:t>
      </w:r>
      <w:r>
        <w:rPr>
          <w:rFonts w:ascii="Arial" w:hAnsi="Arial" w:cs="Arial"/>
          <w:sz w:val="22"/>
          <w:szCs w:val="22"/>
        </w:rPr>
        <w:t xml:space="preserve"> como aporte a la toma de decisiones, referentes al </w:t>
      </w:r>
      <w:r>
        <w:rPr>
          <w:rFonts w:ascii="Arial" w:hAnsi="Arial" w:cs="Arial"/>
          <w:i/>
          <w:sz w:val="22"/>
          <w:szCs w:val="22"/>
        </w:rPr>
        <w:t>Ineina</w:t>
      </w:r>
      <w:r>
        <w:rPr>
          <w:rFonts w:ascii="Arial" w:hAnsi="Arial" w:cs="Arial"/>
          <w:sz w:val="22"/>
          <w:szCs w:val="22"/>
        </w:rPr>
        <w:t xml:space="preserve"> y al </w:t>
      </w:r>
      <w:r>
        <w:rPr>
          <w:rFonts w:ascii="Arial" w:hAnsi="Arial" w:cs="Arial"/>
          <w:i/>
          <w:sz w:val="22"/>
          <w:szCs w:val="22"/>
        </w:rPr>
        <w:t>Icomvis</w:t>
      </w:r>
      <w:r>
        <w:rPr>
          <w:rFonts w:ascii="Arial" w:hAnsi="Arial" w:cs="Arial"/>
          <w:sz w:val="22"/>
          <w:szCs w:val="22"/>
        </w:rPr>
        <w:t xml:space="preserve">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4 informes </w:t>
      </w:r>
      <w:r>
        <w:rPr>
          <w:rFonts w:ascii="Arial" w:hAnsi="Arial" w:cs="Arial"/>
          <w:sz w:val="22"/>
          <w:szCs w:val="22"/>
        </w:rPr>
        <w:t>para encuesta trimestral de balanza de pagos (100%).</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estudio</w:t>
      </w:r>
      <w:r>
        <w:rPr>
          <w:rFonts w:ascii="Arial" w:hAnsi="Arial" w:cs="Arial"/>
          <w:sz w:val="22"/>
          <w:szCs w:val="22"/>
        </w:rPr>
        <w:t xml:space="preserve"> de estimación de las bases de asignación del estipendio mensual para funcionarios becarios en el exterior (100%).</w:t>
      </w:r>
    </w:p>
    <w:p w:rsidR="00F87902" w:rsidRDefault="00F87902">
      <w:pPr>
        <w:pStyle w:val="Prrafodelista"/>
        <w:ind w:left="283" w:firstLine="708"/>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lastRenderedPageBreak/>
        <w:t>69 dictámenes técnicos</w:t>
      </w:r>
      <w:r>
        <w:rPr>
          <w:rFonts w:ascii="Arial" w:hAnsi="Arial" w:cs="Arial"/>
          <w:sz w:val="22"/>
          <w:szCs w:val="22"/>
        </w:rPr>
        <w:t xml:space="preserve"> sobre instrumentos de cooperación: 11 convenios generales, 32 convenios específicos, 3 cartas de entendimiento, 23 </w:t>
      </w:r>
      <w:r>
        <w:rPr>
          <w:rFonts w:ascii="Arial" w:hAnsi="Arial" w:cs="Arial"/>
          <w:i/>
          <w:sz w:val="22"/>
          <w:szCs w:val="22"/>
        </w:rPr>
        <w:t>addendum</w:t>
      </w:r>
      <w:r>
        <w:rPr>
          <w:rFonts w:ascii="Arial" w:hAnsi="Arial" w:cs="Arial"/>
          <w:sz w:val="22"/>
          <w:szCs w:val="22"/>
        </w:rPr>
        <w:t xml:space="preserve">, contratos o acuerdos de financiamiento, donación y proyectos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 xml:space="preserve">Participación en la formulación </w:t>
      </w:r>
      <w:r>
        <w:rPr>
          <w:rFonts w:ascii="Arial" w:hAnsi="Arial" w:cs="Arial"/>
          <w:i/>
          <w:sz w:val="22"/>
          <w:szCs w:val="22"/>
        </w:rPr>
        <w:t>Planes 2016-2020</w:t>
      </w:r>
      <w:r>
        <w:rPr>
          <w:rFonts w:ascii="Arial" w:hAnsi="Arial" w:cs="Arial"/>
          <w:sz w:val="22"/>
          <w:szCs w:val="22"/>
        </w:rPr>
        <w:t xml:space="preserve">: ajuste plan de acción de acciones sustantivas, acompañamiento en elaboración plan de acción estratégico con las vicerrectorías, elaboración metodología específica para valoración de riesgos del </w:t>
      </w:r>
      <w:r>
        <w:rPr>
          <w:rFonts w:ascii="Arial" w:hAnsi="Arial" w:cs="Arial"/>
          <w:i/>
          <w:sz w:val="22"/>
          <w:szCs w:val="22"/>
        </w:rPr>
        <w:t>Planes</w:t>
      </w:r>
      <w:r>
        <w:rPr>
          <w:rFonts w:ascii="Arial" w:hAnsi="Arial" w:cs="Arial"/>
          <w:sz w:val="22"/>
          <w:szCs w:val="22"/>
        </w:rPr>
        <w:t>, revisión de indicadores propuestos de las acciones sustantivas y acciones estratégicas y cálculo de línea base y proyecciones anuales al 2020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 xml:space="preserve">Participación en la elaboración metodológica de seguimiento </w:t>
      </w:r>
      <w:r>
        <w:rPr>
          <w:rFonts w:ascii="Arial" w:hAnsi="Arial" w:cs="Arial"/>
          <w:i/>
          <w:sz w:val="22"/>
          <w:szCs w:val="22"/>
        </w:rPr>
        <w:t>Planes 2011-2015</w:t>
      </w:r>
      <w:r>
        <w:rPr>
          <w:rFonts w:ascii="Arial" w:hAnsi="Arial" w:cs="Arial"/>
          <w:sz w:val="22"/>
          <w:szCs w:val="22"/>
        </w:rPr>
        <w:t>, y elaboración del informe de seguimiento al 2013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Participación en 5 subcomisiones de trabajo conformadas por el Consejo Universitario para elaborar los reglamentos sobre las vicerrectorías, secciones regionales, en la Comisión Especial (conformada por el Consejo Universitario),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Participación en el diseño de la estrategia para la conformación de la comisión institucional que propondría los mecanismos de operación del Sistema de pertinencia y calidad institucional (100%).</w:t>
      </w:r>
    </w:p>
    <w:p w:rsidR="00F87902" w:rsidRDefault="00F87902">
      <w:pPr>
        <w:pStyle w:val="Prrafodelista"/>
        <w:rPr>
          <w:rFonts w:ascii="Arial" w:hAnsi="Arial" w:cs="Arial"/>
          <w:sz w:val="22"/>
          <w:szCs w:val="22"/>
        </w:rPr>
      </w:pPr>
    </w:p>
    <w:p w:rsidR="00F87902" w:rsidRDefault="00A519F9">
      <w:pPr>
        <w:ind w:left="708"/>
        <w:jc w:val="both"/>
      </w:pPr>
      <w:r>
        <w:rPr>
          <w:rFonts w:ascii="Arial" w:hAnsi="Arial" w:cs="Arial"/>
          <w:b/>
          <w:i/>
          <w:sz w:val="22"/>
          <w:szCs w:val="22"/>
        </w:rPr>
        <w:t xml:space="preserve">Programa Gestión Financiera. </w:t>
      </w:r>
    </w:p>
    <w:p w:rsidR="00F87902" w:rsidRDefault="00F87902">
      <w:pPr>
        <w:ind w:left="708"/>
        <w:jc w:val="both"/>
        <w:rPr>
          <w:rFonts w:ascii="Arial" w:hAnsi="Arial" w:cs="Arial"/>
          <w:b/>
          <w:i/>
          <w:sz w:val="22"/>
          <w:szCs w:val="22"/>
        </w:rPr>
      </w:pPr>
    </w:p>
    <w:p w:rsidR="00F87902" w:rsidRDefault="00A519F9">
      <w:pPr>
        <w:numPr>
          <w:ilvl w:val="0"/>
          <w:numId w:val="19"/>
        </w:numPr>
        <w:jc w:val="both"/>
        <w:rPr>
          <w:rFonts w:ascii="Arial" w:hAnsi="Arial" w:cs="Arial"/>
          <w:sz w:val="22"/>
          <w:szCs w:val="22"/>
        </w:rPr>
      </w:pPr>
      <w:r>
        <w:rPr>
          <w:rFonts w:ascii="Arial" w:hAnsi="Arial" w:cs="Arial"/>
          <w:b/>
          <w:sz w:val="22"/>
          <w:szCs w:val="22"/>
        </w:rPr>
        <w:t>90% de avance</w:t>
      </w:r>
      <w:r>
        <w:rPr>
          <w:rFonts w:ascii="Arial" w:hAnsi="Arial" w:cs="Arial"/>
          <w:sz w:val="22"/>
          <w:szCs w:val="22"/>
        </w:rPr>
        <w:t xml:space="preserve"> en la propuesta de consolidación de mejora en servicios del PGF: atención de giros de dinero a través de la transferencia electrónica por concepto de cajas chicas, fondos especiales y salario; solo se mantienen en cheque pagos excepcionales por indicación de la Proveeduría Institucional, pago de profesores pasantes y estudiantes que tienen problema con su cuenta bancaria.</w:t>
      </w:r>
    </w:p>
    <w:p w:rsidR="00F87902" w:rsidRDefault="00F87902">
      <w:pPr>
        <w:ind w:left="1068"/>
        <w:jc w:val="both"/>
        <w:rPr>
          <w:rFonts w:ascii="Arial" w:hAnsi="Arial" w:cs="Arial"/>
          <w:sz w:val="22"/>
          <w:szCs w:val="22"/>
        </w:rPr>
      </w:pPr>
    </w:p>
    <w:p w:rsidR="00F87902" w:rsidRDefault="00A519F9">
      <w:pPr>
        <w:numPr>
          <w:ilvl w:val="0"/>
          <w:numId w:val="19"/>
        </w:numPr>
        <w:jc w:val="both"/>
        <w:rPr>
          <w:rFonts w:ascii="Arial" w:hAnsi="Arial" w:cs="Arial"/>
          <w:sz w:val="22"/>
          <w:szCs w:val="22"/>
        </w:rPr>
      </w:pPr>
      <w:r>
        <w:rPr>
          <w:rFonts w:ascii="Arial" w:hAnsi="Arial" w:cs="Arial"/>
          <w:b/>
          <w:sz w:val="22"/>
          <w:szCs w:val="22"/>
        </w:rPr>
        <w:t>1 proyecto</w:t>
      </w:r>
      <w:r>
        <w:rPr>
          <w:rFonts w:ascii="Arial" w:hAnsi="Arial" w:cs="Arial"/>
          <w:sz w:val="22"/>
          <w:szCs w:val="22"/>
        </w:rPr>
        <w:t xml:space="preserve"> de plataforma tecnológica virtual del PGF mediante su página </w:t>
      </w:r>
      <w:r>
        <w:rPr>
          <w:rFonts w:ascii="Arial" w:hAnsi="Arial" w:cs="Arial"/>
          <w:i/>
          <w:sz w:val="22"/>
          <w:szCs w:val="22"/>
        </w:rPr>
        <w:t xml:space="preserve">web </w:t>
      </w:r>
      <w:r>
        <w:rPr>
          <w:rFonts w:ascii="Arial" w:hAnsi="Arial" w:cs="Arial"/>
          <w:sz w:val="22"/>
          <w:szCs w:val="22"/>
        </w:rPr>
        <w:t>(100%).</w:t>
      </w:r>
    </w:p>
    <w:p w:rsidR="00F87902" w:rsidRDefault="00F87902">
      <w:pPr>
        <w:pStyle w:val="Prrafodelista"/>
        <w:rPr>
          <w:rFonts w:ascii="Arial" w:hAnsi="Arial" w:cs="Arial"/>
          <w:sz w:val="22"/>
          <w:szCs w:val="22"/>
        </w:rPr>
      </w:pPr>
    </w:p>
    <w:p w:rsidR="00F87902" w:rsidRDefault="00A519F9">
      <w:pPr>
        <w:numPr>
          <w:ilvl w:val="0"/>
          <w:numId w:val="19"/>
        </w:numPr>
        <w:jc w:val="both"/>
        <w:rPr>
          <w:rFonts w:ascii="Arial" w:hAnsi="Arial" w:cs="Arial"/>
          <w:sz w:val="22"/>
          <w:szCs w:val="22"/>
        </w:rPr>
      </w:pPr>
      <w:r>
        <w:rPr>
          <w:rFonts w:ascii="Arial" w:hAnsi="Arial" w:cs="Arial"/>
          <w:b/>
          <w:sz w:val="22"/>
          <w:szCs w:val="22"/>
        </w:rPr>
        <w:t>1 propuesta</w:t>
      </w:r>
      <w:r>
        <w:rPr>
          <w:rFonts w:ascii="Arial" w:hAnsi="Arial" w:cs="Arial"/>
          <w:sz w:val="22"/>
          <w:szCs w:val="22"/>
        </w:rPr>
        <w:t xml:space="preserve"> de asignación de recursos de operación e inversión (100%).</w:t>
      </w:r>
    </w:p>
    <w:p w:rsidR="00F87902" w:rsidRDefault="00F87902">
      <w:pPr>
        <w:pStyle w:val="Prrafodelista"/>
        <w:rPr>
          <w:rFonts w:ascii="Arial" w:hAnsi="Arial" w:cs="Arial"/>
          <w:sz w:val="22"/>
          <w:szCs w:val="22"/>
        </w:rPr>
      </w:pPr>
    </w:p>
    <w:p w:rsidR="00F87902" w:rsidRDefault="00A519F9">
      <w:pPr>
        <w:numPr>
          <w:ilvl w:val="0"/>
          <w:numId w:val="19"/>
        </w:numPr>
        <w:jc w:val="both"/>
        <w:rPr>
          <w:rFonts w:ascii="Arial" w:hAnsi="Arial" w:cs="Arial"/>
          <w:sz w:val="22"/>
          <w:szCs w:val="22"/>
        </w:rPr>
      </w:pPr>
      <w:r>
        <w:rPr>
          <w:rFonts w:ascii="Arial" w:hAnsi="Arial" w:cs="Arial"/>
          <w:b/>
          <w:sz w:val="22"/>
          <w:szCs w:val="22"/>
        </w:rPr>
        <w:t>33% de logro</w:t>
      </w:r>
      <w:r>
        <w:rPr>
          <w:rFonts w:ascii="Arial" w:hAnsi="Arial" w:cs="Arial"/>
          <w:sz w:val="22"/>
          <w:szCs w:val="22"/>
        </w:rPr>
        <w:t xml:space="preserve"> en la propuesta con metodologías para la elaboración del módulo de informes y rendición de cuentas.</w:t>
      </w:r>
    </w:p>
    <w:p w:rsidR="00F87902" w:rsidRDefault="00F87902">
      <w:pPr>
        <w:pStyle w:val="Prrafodelista"/>
        <w:rPr>
          <w:rFonts w:ascii="Arial" w:hAnsi="Arial" w:cs="Arial"/>
          <w:sz w:val="22"/>
          <w:szCs w:val="22"/>
        </w:rPr>
      </w:pPr>
    </w:p>
    <w:p w:rsidR="00F87902" w:rsidRDefault="00A519F9">
      <w:pPr>
        <w:numPr>
          <w:ilvl w:val="0"/>
          <w:numId w:val="5"/>
        </w:numPr>
        <w:ind w:left="1068"/>
        <w:jc w:val="both"/>
        <w:rPr>
          <w:rFonts w:ascii="Arial" w:hAnsi="Arial" w:cs="Arial"/>
          <w:sz w:val="22"/>
          <w:szCs w:val="22"/>
        </w:rPr>
      </w:pPr>
      <w:r>
        <w:rPr>
          <w:rFonts w:ascii="Arial" w:hAnsi="Arial" w:cs="Arial"/>
          <w:sz w:val="22"/>
          <w:szCs w:val="22"/>
        </w:rPr>
        <w:t>Ejecución presupuestaria de ingresos en niveles satisfactorios, la cual se muestra en el arreglo inserto:</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F87902">
      <w:pPr>
        <w:jc w:val="center"/>
        <w:rPr>
          <w:rFonts w:ascii="Arial" w:hAnsi="Arial" w:cs="Arial"/>
          <w:b/>
          <w:color w:val="0070C0"/>
        </w:rPr>
      </w:pPr>
    </w:p>
    <w:p w:rsidR="00F87902" w:rsidRDefault="00A519F9">
      <w:pPr>
        <w:jc w:val="center"/>
        <w:rPr>
          <w:rFonts w:ascii="Arial" w:hAnsi="Arial" w:cs="Arial"/>
        </w:rPr>
      </w:pPr>
      <w:r>
        <w:rPr>
          <w:rFonts w:ascii="Arial" w:hAnsi="Arial" w:cs="Arial"/>
          <w:b/>
        </w:rPr>
        <w:lastRenderedPageBreak/>
        <w:t>CUADRO N°15</w:t>
      </w:r>
    </w:p>
    <w:p w:rsidR="00F87902" w:rsidRDefault="00A519F9">
      <w:pPr>
        <w:pStyle w:val="Prrafodelista"/>
        <w:jc w:val="center"/>
        <w:rPr>
          <w:rFonts w:ascii="Arial" w:hAnsi="Arial" w:cs="Arial"/>
          <w:b/>
          <w:sz w:val="22"/>
          <w:szCs w:val="22"/>
        </w:rPr>
      </w:pPr>
      <w:r>
        <w:rPr>
          <w:rFonts w:ascii="Arial" w:hAnsi="Arial" w:cs="Arial"/>
          <w:b/>
          <w:sz w:val="22"/>
          <w:szCs w:val="22"/>
        </w:rPr>
        <w:t>EJECUCIÓN PRESUPUESTARIA DE INGRESOS AL 31 DE DICIEMBRE DEL 2015</w:t>
      </w:r>
    </w:p>
    <w:p w:rsidR="00F87902" w:rsidRDefault="00A519F9">
      <w:pPr>
        <w:spacing w:line="360" w:lineRule="auto"/>
        <w:ind w:left="708"/>
        <w:jc w:val="center"/>
        <w:rPr>
          <w:rFonts w:ascii="Arial" w:hAnsi="Arial" w:cs="Arial"/>
          <w:b/>
        </w:rPr>
      </w:pPr>
      <w:r>
        <w:rPr>
          <w:rFonts w:ascii="Arial" w:hAnsi="Arial" w:cs="Arial"/>
          <w:b/>
        </w:rPr>
        <w:t>(millones de colones)</w:t>
      </w:r>
    </w:p>
    <w:tbl>
      <w:tblPr>
        <w:tblW w:w="9357" w:type="dxa"/>
        <w:tblInd w:w="-40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right w:w="70" w:type="dxa"/>
        </w:tblCellMar>
        <w:tblLook w:val="04A0"/>
      </w:tblPr>
      <w:tblGrid>
        <w:gridCol w:w="2414"/>
        <w:gridCol w:w="1701"/>
        <w:gridCol w:w="1416"/>
        <w:gridCol w:w="1194"/>
        <w:gridCol w:w="1397"/>
        <w:gridCol w:w="1235"/>
      </w:tblGrid>
      <w:tr w:rsidR="00F87902">
        <w:trPr>
          <w:trHeight w:val="525"/>
        </w:trPr>
        <w:tc>
          <w:tcPr>
            <w:tcW w:w="2413" w:type="dxa"/>
            <w:vMerge w:val="restart"/>
            <w:tcBorders>
              <w:top w:val="single" w:sz="8" w:space="0" w:color="00000A"/>
              <w:left w:val="single" w:sz="8" w:space="0" w:color="00000A"/>
              <w:bottom w:val="single" w:sz="8" w:space="0" w:color="000001"/>
              <w:right w:val="single" w:sz="8" w:space="0" w:color="00000A"/>
            </w:tcBorders>
            <w:shd w:val="clear" w:color="000000" w:fill="A6A6A6"/>
            <w:tcMar>
              <w:left w:w="10" w:type="dxa"/>
            </w:tcMar>
            <w:vAlign w:val="bottom"/>
          </w:tcPr>
          <w:p w:rsidR="00F87902" w:rsidRDefault="00A519F9">
            <w:pPr>
              <w:jc w:val="center"/>
              <w:rPr>
                <w:rFonts w:ascii="Arial" w:hAnsi="Arial" w:cs="Arial"/>
                <w:b/>
                <w:bCs/>
                <w:sz w:val="20"/>
                <w:szCs w:val="20"/>
              </w:rPr>
            </w:pPr>
            <w:r>
              <w:rPr>
                <w:rFonts w:ascii="Arial" w:hAnsi="Arial" w:cs="Arial"/>
                <w:b/>
                <w:bCs/>
                <w:sz w:val="20"/>
                <w:szCs w:val="20"/>
              </w:rPr>
              <w:t>CONCEPTO</w:t>
            </w:r>
          </w:p>
        </w:tc>
        <w:tc>
          <w:tcPr>
            <w:tcW w:w="1701" w:type="dxa"/>
            <w:vMerge w:val="restart"/>
            <w:tcBorders>
              <w:top w:val="single" w:sz="8" w:space="0" w:color="00000A"/>
              <w:left w:val="single" w:sz="8" w:space="0" w:color="00000A"/>
              <w:bottom w:val="single" w:sz="8" w:space="0" w:color="000001"/>
              <w:right w:val="single" w:sz="8" w:space="0" w:color="00000A"/>
            </w:tcBorders>
            <w:shd w:val="clear" w:color="000000" w:fill="A6A6A6"/>
            <w:tcMar>
              <w:left w:w="10" w:type="dxa"/>
            </w:tcMar>
            <w:vAlign w:val="bottom"/>
          </w:tcPr>
          <w:p w:rsidR="00F87902" w:rsidRDefault="00A519F9">
            <w:pPr>
              <w:jc w:val="center"/>
              <w:rPr>
                <w:rFonts w:ascii="Arial" w:hAnsi="Arial" w:cs="Arial"/>
                <w:b/>
                <w:bCs/>
                <w:sz w:val="20"/>
                <w:szCs w:val="20"/>
              </w:rPr>
            </w:pPr>
            <w:r>
              <w:rPr>
                <w:rFonts w:ascii="Arial" w:hAnsi="Arial" w:cs="Arial"/>
                <w:b/>
                <w:bCs/>
                <w:sz w:val="20"/>
                <w:szCs w:val="20"/>
              </w:rPr>
              <w:t>PRESUPUESTO            2015</w:t>
            </w:r>
          </w:p>
        </w:tc>
        <w:tc>
          <w:tcPr>
            <w:tcW w:w="1416" w:type="dxa"/>
            <w:vMerge w:val="restart"/>
            <w:tcBorders>
              <w:top w:val="single" w:sz="8" w:space="0" w:color="00000A"/>
              <w:left w:val="single" w:sz="8" w:space="0" w:color="00000A"/>
              <w:bottom w:val="single" w:sz="8" w:space="0" w:color="000001"/>
              <w:right w:val="single" w:sz="8" w:space="0" w:color="00000A"/>
            </w:tcBorders>
            <w:shd w:val="clear" w:color="000000" w:fill="A6A6A6"/>
            <w:tcMar>
              <w:left w:w="10" w:type="dxa"/>
            </w:tcMar>
            <w:vAlign w:val="bottom"/>
          </w:tcPr>
          <w:p w:rsidR="00F87902" w:rsidRDefault="00A519F9">
            <w:pPr>
              <w:jc w:val="center"/>
              <w:rPr>
                <w:rFonts w:ascii="Arial" w:hAnsi="Arial" w:cs="Arial"/>
                <w:b/>
                <w:bCs/>
                <w:sz w:val="20"/>
                <w:szCs w:val="20"/>
              </w:rPr>
            </w:pPr>
            <w:r>
              <w:rPr>
                <w:rFonts w:ascii="Arial" w:hAnsi="Arial" w:cs="Arial"/>
                <w:b/>
                <w:bCs/>
                <w:sz w:val="20"/>
                <w:szCs w:val="20"/>
              </w:rPr>
              <w:t>Participación relativa</w:t>
            </w:r>
          </w:p>
        </w:tc>
        <w:tc>
          <w:tcPr>
            <w:tcW w:w="1194" w:type="dxa"/>
            <w:tcBorders>
              <w:top w:val="single" w:sz="8" w:space="0" w:color="00000A"/>
              <w:left w:val="single" w:sz="8" w:space="0" w:color="00000A"/>
              <w:bottom w:val="single" w:sz="8" w:space="0" w:color="000001"/>
              <w:right w:val="single" w:sz="8" w:space="0" w:color="00000A"/>
            </w:tcBorders>
            <w:shd w:val="clear" w:color="000000" w:fill="A6A6A6"/>
            <w:tcMar>
              <w:left w:w="19" w:type="dxa"/>
            </w:tcMar>
            <w:vAlign w:val="bottom"/>
          </w:tcPr>
          <w:p w:rsidR="00F87902" w:rsidRDefault="00A519F9">
            <w:pPr>
              <w:jc w:val="center"/>
              <w:rPr>
                <w:rFonts w:ascii="Arial" w:hAnsi="Arial" w:cs="Arial"/>
                <w:b/>
                <w:bCs/>
                <w:sz w:val="20"/>
                <w:szCs w:val="20"/>
              </w:rPr>
            </w:pPr>
            <w:r>
              <w:rPr>
                <w:rFonts w:ascii="Arial" w:hAnsi="Arial" w:cs="Arial"/>
                <w:b/>
                <w:bCs/>
                <w:sz w:val="20"/>
                <w:szCs w:val="20"/>
              </w:rPr>
              <w:t>INGRESOS REALES,</w:t>
            </w:r>
          </w:p>
        </w:tc>
        <w:tc>
          <w:tcPr>
            <w:tcW w:w="1397" w:type="dxa"/>
            <w:vMerge w:val="restart"/>
            <w:tcBorders>
              <w:top w:val="single" w:sz="8" w:space="0" w:color="00000A"/>
              <w:left w:val="single" w:sz="8" w:space="0" w:color="00000A"/>
              <w:bottom w:val="single" w:sz="8" w:space="0" w:color="000001"/>
              <w:right w:val="single" w:sz="8" w:space="0" w:color="00000A"/>
            </w:tcBorders>
            <w:shd w:val="clear" w:color="000000" w:fill="A6A6A6"/>
            <w:tcMar>
              <w:left w:w="10" w:type="dxa"/>
            </w:tcMar>
            <w:vAlign w:val="bottom"/>
          </w:tcPr>
          <w:p w:rsidR="00F87902" w:rsidRDefault="00A519F9">
            <w:pPr>
              <w:jc w:val="center"/>
              <w:rPr>
                <w:rFonts w:ascii="Arial" w:hAnsi="Arial" w:cs="Arial"/>
                <w:b/>
                <w:bCs/>
                <w:sz w:val="20"/>
                <w:szCs w:val="20"/>
              </w:rPr>
            </w:pPr>
            <w:r>
              <w:rPr>
                <w:rFonts w:ascii="Arial" w:hAnsi="Arial" w:cs="Arial"/>
                <w:b/>
                <w:bCs/>
                <w:sz w:val="20"/>
                <w:szCs w:val="20"/>
              </w:rPr>
              <w:t>Participación relativa</w:t>
            </w:r>
          </w:p>
        </w:tc>
        <w:tc>
          <w:tcPr>
            <w:tcW w:w="1235" w:type="dxa"/>
            <w:tcBorders>
              <w:top w:val="single" w:sz="8" w:space="0" w:color="00000A"/>
              <w:left w:val="single" w:sz="8" w:space="0" w:color="00000A"/>
              <w:bottom w:val="single" w:sz="8" w:space="0" w:color="000001"/>
              <w:right w:val="single" w:sz="8" w:space="0" w:color="00000A"/>
            </w:tcBorders>
            <w:shd w:val="clear" w:color="000000" w:fill="A6A6A6"/>
            <w:tcMar>
              <w:left w:w="19" w:type="dxa"/>
            </w:tcMar>
            <w:vAlign w:val="bottom"/>
          </w:tcPr>
          <w:p w:rsidR="00F87902" w:rsidRDefault="00A519F9">
            <w:pPr>
              <w:jc w:val="center"/>
              <w:rPr>
                <w:rFonts w:ascii="Arial" w:hAnsi="Arial" w:cs="Arial"/>
                <w:b/>
                <w:bCs/>
                <w:sz w:val="20"/>
                <w:szCs w:val="20"/>
              </w:rPr>
            </w:pPr>
            <w:r>
              <w:rPr>
                <w:rFonts w:ascii="Arial" w:hAnsi="Arial" w:cs="Arial"/>
                <w:b/>
                <w:bCs/>
                <w:sz w:val="20"/>
                <w:szCs w:val="20"/>
              </w:rPr>
              <w:t>%</w:t>
            </w:r>
          </w:p>
        </w:tc>
      </w:tr>
      <w:tr w:rsidR="00F87902">
        <w:trPr>
          <w:trHeight w:val="315"/>
        </w:trPr>
        <w:tc>
          <w:tcPr>
            <w:tcW w:w="2413" w:type="dxa"/>
            <w:vMerge/>
            <w:tcBorders>
              <w:top w:val="single" w:sz="8" w:space="0" w:color="00000A"/>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701" w:type="dxa"/>
            <w:vMerge/>
            <w:tcBorders>
              <w:top w:val="single" w:sz="8" w:space="0" w:color="00000A"/>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416" w:type="dxa"/>
            <w:vMerge/>
            <w:tcBorders>
              <w:top w:val="single" w:sz="8" w:space="0" w:color="00000A"/>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194" w:type="dxa"/>
            <w:tcBorders>
              <w:top w:val="single" w:sz="8" w:space="0" w:color="00000A"/>
              <w:left w:val="single" w:sz="8" w:space="0" w:color="00000A"/>
              <w:bottom w:val="single" w:sz="8" w:space="0" w:color="00000A"/>
              <w:right w:val="single" w:sz="8" w:space="0" w:color="00000A"/>
            </w:tcBorders>
            <w:shd w:val="clear" w:color="000000" w:fill="A6A6A6"/>
            <w:tcMar>
              <w:left w:w="19" w:type="dxa"/>
            </w:tcMar>
            <w:vAlign w:val="bottom"/>
          </w:tcPr>
          <w:p w:rsidR="00F87902" w:rsidRDefault="00A519F9">
            <w:pPr>
              <w:jc w:val="center"/>
              <w:rPr>
                <w:rFonts w:ascii="Arial" w:hAnsi="Arial" w:cs="Arial"/>
                <w:b/>
                <w:bCs/>
                <w:sz w:val="20"/>
                <w:szCs w:val="20"/>
              </w:rPr>
            </w:pPr>
            <w:r>
              <w:rPr>
                <w:rFonts w:ascii="Arial" w:hAnsi="Arial" w:cs="Arial"/>
                <w:b/>
                <w:bCs/>
                <w:sz w:val="20"/>
                <w:szCs w:val="20"/>
              </w:rPr>
              <w:t>junio 2015</w:t>
            </w:r>
          </w:p>
        </w:tc>
        <w:tc>
          <w:tcPr>
            <w:tcW w:w="1397" w:type="dxa"/>
            <w:vMerge/>
            <w:tcBorders>
              <w:top w:val="single" w:sz="8" w:space="0" w:color="00000A"/>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235" w:type="dxa"/>
            <w:tcBorders>
              <w:top w:val="single" w:sz="8" w:space="0" w:color="00000A"/>
              <w:left w:val="single" w:sz="8" w:space="0" w:color="00000A"/>
              <w:bottom w:val="single" w:sz="8" w:space="0" w:color="00000A"/>
              <w:right w:val="single" w:sz="8" w:space="0" w:color="00000A"/>
            </w:tcBorders>
            <w:shd w:val="clear" w:color="000000" w:fill="A6A6A6"/>
            <w:tcMar>
              <w:left w:w="19" w:type="dxa"/>
            </w:tcMar>
            <w:vAlign w:val="bottom"/>
          </w:tcPr>
          <w:p w:rsidR="00F87902" w:rsidRDefault="00A519F9">
            <w:pPr>
              <w:jc w:val="center"/>
              <w:rPr>
                <w:rFonts w:ascii="Arial" w:hAnsi="Arial" w:cs="Arial"/>
                <w:b/>
                <w:bCs/>
                <w:sz w:val="20"/>
                <w:szCs w:val="20"/>
              </w:rPr>
            </w:pPr>
            <w:r>
              <w:rPr>
                <w:rFonts w:ascii="Arial" w:hAnsi="Arial" w:cs="Arial"/>
                <w:b/>
                <w:bCs/>
                <w:sz w:val="20"/>
                <w:szCs w:val="20"/>
              </w:rPr>
              <w:t>Ejecución</w:t>
            </w:r>
          </w:p>
        </w:tc>
      </w:tr>
      <w:tr w:rsidR="00F87902">
        <w:trPr>
          <w:trHeight w:val="300"/>
        </w:trPr>
        <w:tc>
          <w:tcPr>
            <w:tcW w:w="2413"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b/>
                <w:bCs/>
                <w:sz w:val="20"/>
                <w:szCs w:val="20"/>
              </w:rPr>
            </w:pPr>
            <w:r>
              <w:rPr>
                <w:rFonts w:ascii="Arial" w:hAnsi="Arial" w:cs="Arial"/>
                <w:b/>
                <w:bCs/>
                <w:sz w:val="20"/>
                <w:szCs w:val="20"/>
              </w:rPr>
              <w:t>INGRESOS TOTALES</w:t>
            </w:r>
          </w:p>
        </w:tc>
        <w:tc>
          <w:tcPr>
            <w:tcW w:w="1701" w:type="dxa"/>
            <w:tcBorders>
              <w:top w:val="single" w:sz="8" w:space="0" w:color="000001"/>
              <w:left w:val="single" w:sz="8" w:space="0" w:color="00000A"/>
              <w:bottom w:val="single" w:sz="8" w:space="0" w:color="000001"/>
              <w:right w:val="single" w:sz="8" w:space="0" w:color="00000A"/>
            </w:tcBorders>
            <w:shd w:val="clear" w:color="auto" w:fill="auto"/>
            <w:tcMar>
              <w:left w:w="19" w:type="dxa"/>
            </w:tcMar>
            <w:vAlign w:val="bottom"/>
          </w:tcPr>
          <w:p w:rsidR="00F87902" w:rsidRDefault="00A519F9">
            <w:pPr>
              <w:jc w:val="right"/>
              <w:rPr>
                <w:b/>
                <w:bCs/>
                <w:sz w:val="20"/>
                <w:szCs w:val="20"/>
              </w:rPr>
            </w:pPr>
            <w:r>
              <w:rPr>
                <w:b/>
                <w:bCs/>
                <w:sz w:val="20"/>
                <w:szCs w:val="20"/>
              </w:rPr>
              <w:t>129.324,13</w:t>
            </w:r>
          </w:p>
        </w:tc>
        <w:tc>
          <w:tcPr>
            <w:tcW w:w="1416"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100,00%</w:t>
            </w:r>
          </w:p>
        </w:tc>
        <w:tc>
          <w:tcPr>
            <w:tcW w:w="1194"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sz w:val="20"/>
                <w:szCs w:val="20"/>
              </w:rPr>
            </w:pPr>
            <w:r>
              <w:rPr>
                <w:b/>
                <w:bCs/>
                <w:sz w:val="20"/>
                <w:szCs w:val="20"/>
              </w:rPr>
              <w:t>127.354,24</w:t>
            </w:r>
          </w:p>
        </w:tc>
        <w:tc>
          <w:tcPr>
            <w:tcW w:w="1397"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100,00%</w:t>
            </w:r>
          </w:p>
        </w:tc>
        <w:tc>
          <w:tcPr>
            <w:tcW w:w="1235"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98,48%</w:t>
            </w:r>
          </w:p>
        </w:tc>
      </w:tr>
      <w:tr w:rsidR="00F87902">
        <w:trPr>
          <w:trHeight w:val="300"/>
        </w:trPr>
        <w:tc>
          <w:tcPr>
            <w:tcW w:w="2413"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b/>
                <w:bCs/>
                <w:sz w:val="20"/>
                <w:szCs w:val="20"/>
                <w:u w:val="single"/>
              </w:rPr>
            </w:pPr>
            <w:r>
              <w:rPr>
                <w:rFonts w:ascii="Arial" w:hAnsi="Arial" w:cs="Arial"/>
                <w:b/>
                <w:bCs/>
                <w:sz w:val="20"/>
                <w:szCs w:val="20"/>
                <w:u w:val="single"/>
              </w:rPr>
              <w:t>Menos:</w:t>
            </w:r>
          </w:p>
        </w:tc>
        <w:tc>
          <w:tcPr>
            <w:tcW w:w="1701" w:type="dxa"/>
            <w:tcBorders>
              <w:top w:val="single" w:sz="8" w:space="0" w:color="000001"/>
              <w:left w:val="single" w:sz="8" w:space="0" w:color="00000A"/>
              <w:bottom w:val="single" w:sz="8" w:space="0" w:color="000001"/>
              <w:right w:val="single" w:sz="8" w:space="0" w:color="00000A"/>
            </w:tcBorders>
            <w:shd w:val="clear" w:color="auto" w:fill="auto"/>
            <w:tcMar>
              <w:left w:w="19"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416"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194"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397"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235"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r>
      <w:tr w:rsidR="00F87902">
        <w:trPr>
          <w:trHeight w:val="930"/>
        </w:trPr>
        <w:tc>
          <w:tcPr>
            <w:tcW w:w="2413"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b/>
                <w:bCs/>
                <w:sz w:val="20"/>
                <w:szCs w:val="20"/>
              </w:rPr>
            </w:pPr>
            <w:r>
              <w:rPr>
                <w:rFonts w:ascii="Arial" w:hAnsi="Arial" w:cs="Arial"/>
                <w:b/>
                <w:bCs/>
                <w:sz w:val="20"/>
                <w:szCs w:val="20"/>
              </w:rPr>
              <w:t>INGRESOS DEL GOBIERNO CENTRAL, OTRAS LEYES, TRANSFERENCIAS DEL SECTOR PÚBLICO, SECTOR EXTERNO Y DE CAPITAL</w:t>
            </w:r>
          </w:p>
        </w:tc>
        <w:tc>
          <w:tcPr>
            <w:tcW w:w="1701"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sz w:val="20"/>
                <w:szCs w:val="20"/>
              </w:rPr>
            </w:pPr>
            <w:r>
              <w:rPr>
                <w:b/>
                <w:sz w:val="20"/>
                <w:szCs w:val="20"/>
              </w:rPr>
              <w:t>101.426,42</w:t>
            </w:r>
          </w:p>
        </w:tc>
        <w:tc>
          <w:tcPr>
            <w:tcW w:w="1416"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78,43%</w:t>
            </w:r>
          </w:p>
        </w:tc>
        <w:tc>
          <w:tcPr>
            <w:tcW w:w="1194"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sz w:val="20"/>
                <w:szCs w:val="20"/>
              </w:rPr>
            </w:pPr>
            <w:r>
              <w:rPr>
                <w:b/>
                <w:bCs/>
                <w:sz w:val="20"/>
                <w:szCs w:val="20"/>
              </w:rPr>
              <w:t>98.603,13</w:t>
            </w:r>
          </w:p>
        </w:tc>
        <w:tc>
          <w:tcPr>
            <w:tcW w:w="1397"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77,42%</w:t>
            </w:r>
          </w:p>
        </w:tc>
        <w:tc>
          <w:tcPr>
            <w:tcW w:w="1235"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97,22%</w:t>
            </w:r>
          </w:p>
        </w:tc>
      </w:tr>
      <w:tr w:rsidR="00F87902">
        <w:trPr>
          <w:trHeight w:hRule="exact" w:val="23"/>
        </w:trPr>
        <w:tc>
          <w:tcPr>
            <w:tcW w:w="2413"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701"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sz w:val="20"/>
                <w:szCs w:val="20"/>
              </w:rPr>
            </w:pPr>
          </w:p>
        </w:tc>
        <w:tc>
          <w:tcPr>
            <w:tcW w:w="1416"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c>
          <w:tcPr>
            <w:tcW w:w="1194"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397"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c>
          <w:tcPr>
            <w:tcW w:w="1235"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r>
      <w:tr w:rsidR="00F87902">
        <w:trPr>
          <w:trHeight w:val="230"/>
        </w:trPr>
        <w:tc>
          <w:tcPr>
            <w:tcW w:w="2413"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rFonts w:ascii="Arial" w:hAnsi="Arial" w:cs="Arial"/>
                <w:b/>
                <w:bCs/>
                <w:sz w:val="20"/>
                <w:szCs w:val="20"/>
              </w:rPr>
            </w:pPr>
          </w:p>
        </w:tc>
        <w:tc>
          <w:tcPr>
            <w:tcW w:w="1701"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sz w:val="20"/>
                <w:szCs w:val="20"/>
              </w:rPr>
            </w:pPr>
          </w:p>
        </w:tc>
        <w:tc>
          <w:tcPr>
            <w:tcW w:w="1416"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c>
          <w:tcPr>
            <w:tcW w:w="1194"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397"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c>
          <w:tcPr>
            <w:tcW w:w="1235"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r>
      <w:tr w:rsidR="00F87902">
        <w:trPr>
          <w:trHeight w:val="1965"/>
        </w:trPr>
        <w:tc>
          <w:tcPr>
            <w:tcW w:w="2413"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i/>
                <w:iCs/>
                <w:sz w:val="20"/>
                <w:szCs w:val="20"/>
              </w:rPr>
            </w:pPr>
            <w:r>
              <w:rPr>
                <w:rFonts w:ascii="Arial" w:hAnsi="Arial" w:cs="Arial"/>
                <w:i/>
                <w:iCs/>
                <w:sz w:val="20"/>
                <w:szCs w:val="20"/>
              </w:rPr>
              <w:t>(FEES, Ley 7386 Rentas Propias, Ley de Pesca, Impuesto Cemento, Ley Nacional de emergencias, Conicit, Ministerio de Cultura y Juventud, Ministerio de Agricultura y Ganadería, Conare, Banco Nacional de Costa Rica, Universidad de Costa Rica, Maderas Cultivadas de CR MCC S.A., Panamerican Woods (Plantations S.A.),  otras transferencias del Sector Público, ingresos tributarios e ingresos de capital)</w:t>
            </w:r>
          </w:p>
          <w:p w:rsidR="00F87902" w:rsidRDefault="00F87902">
            <w:pPr>
              <w:jc w:val="both"/>
              <w:rPr>
                <w:rFonts w:ascii="Arial" w:hAnsi="Arial" w:cs="Arial"/>
                <w:i/>
                <w:iCs/>
                <w:sz w:val="20"/>
                <w:szCs w:val="20"/>
              </w:rPr>
            </w:pPr>
          </w:p>
        </w:tc>
        <w:tc>
          <w:tcPr>
            <w:tcW w:w="1701" w:type="dxa"/>
            <w:tcBorders>
              <w:top w:val="single" w:sz="8" w:space="0" w:color="000001"/>
              <w:left w:val="single" w:sz="8" w:space="0" w:color="00000A"/>
              <w:bottom w:val="single" w:sz="8" w:space="0" w:color="000001"/>
              <w:right w:val="single" w:sz="8" w:space="0" w:color="00000A"/>
            </w:tcBorders>
            <w:shd w:val="clear" w:color="auto" w:fill="auto"/>
            <w:tcMar>
              <w:left w:w="19"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416"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194"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397"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235"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r>
      <w:tr w:rsidR="00F87902">
        <w:trPr>
          <w:trHeight w:val="525"/>
        </w:trPr>
        <w:tc>
          <w:tcPr>
            <w:tcW w:w="2413"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b/>
                <w:bCs/>
                <w:sz w:val="20"/>
                <w:szCs w:val="20"/>
              </w:rPr>
            </w:pPr>
            <w:r>
              <w:rPr>
                <w:rFonts w:ascii="Arial" w:hAnsi="Arial" w:cs="Arial"/>
                <w:b/>
                <w:bCs/>
                <w:sz w:val="20"/>
                <w:szCs w:val="20"/>
              </w:rPr>
              <w:t>EFECTO DE PERÍODOS ANTERIORES</w:t>
            </w:r>
          </w:p>
        </w:tc>
        <w:tc>
          <w:tcPr>
            <w:tcW w:w="1701" w:type="dxa"/>
            <w:tcBorders>
              <w:top w:val="single" w:sz="8" w:space="0" w:color="000001"/>
              <w:left w:val="single" w:sz="8" w:space="0" w:color="00000A"/>
              <w:bottom w:val="single" w:sz="8" w:space="0" w:color="000001"/>
              <w:right w:val="single" w:sz="8" w:space="0" w:color="00000A"/>
            </w:tcBorders>
            <w:shd w:val="clear" w:color="auto" w:fill="auto"/>
            <w:tcMar>
              <w:left w:w="19" w:type="dxa"/>
            </w:tcMar>
            <w:vAlign w:val="bottom"/>
          </w:tcPr>
          <w:p w:rsidR="00F87902" w:rsidRDefault="00A519F9">
            <w:pPr>
              <w:jc w:val="right"/>
              <w:rPr>
                <w:b/>
                <w:bCs/>
                <w:sz w:val="20"/>
                <w:szCs w:val="20"/>
              </w:rPr>
            </w:pPr>
            <w:r>
              <w:rPr>
                <w:b/>
                <w:bCs/>
                <w:sz w:val="20"/>
                <w:szCs w:val="20"/>
              </w:rPr>
              <w:t>21.023,95</w:t>
            </w:r>
          </w:p>
        </w:tc>
        <w:tc>
          <w:tcPr>
            <w:tcW w:w="1416"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16,26%</w:t>
            </w:r>
          </w:p>
        </w:tc>
        <w:tc>
          <w:tcPr>
            <w:tcW w:w="1194"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sz w:val="20"/>
                <w:szCs w:val="20"/>
              </w:rPr>
            </w:pPr>
            <w:r>
              <w:rPr>
                <w:b/>
                <w:bCs/>
                <w:sz w:val="20"/>
                <w:szCs w:val="20"/>
              </w:rPr>
              <w:t>21.023,95</w:t>
            </w:r>
          </w:p>
        </w:tc>
        <w:tc>
          <w:tcPr>
            <w:tcW w:w="1397"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16,51%</w:t>
            </w:r>
          </w:p>
        </w:tc>
        <w:tc>
          <w:tcPr>
            <w:tcW w:w="1235"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100,00%</w:t>
            </w:r>
          </w:p>
        </w:tc>
      </w:tr>
      <w:tr w:rsidR="00F87902">
        <w:trPr>
          <w:trHeight w:val="300"/>
        </w:trPr>
        <w:tc>
          <w:tcPr>
            <w:tcW w:w="2413"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both"/>
              <w:rPr>
                <w:rFonts w:ascii="Arial" w:hAnsi="Arial" w:cs="Arial"/>
                <w:i/>
                <w:iCs/>
                <w:sz w:val="20"/>
                <w:szCs w:val="20"/>
              </w:rPr>
            </w:pPr>
            <w:r>
              <w:rPr>
                <w:rFonts w:ascii="Arial" w:hAnsi="Arial" w:cs="Arial"/>
                <w:i/>
                <w:iCs/>
                <w:sz w:val="20"/>
                <w:szCs w:val="20"/>
              </w:rPr>
              <w:t>Superávit de períodos anteriores</w:t>
            </w:r>
          </w:p>
        </w:tc>
        <w:tc>
          <w:tcPr>
            <w:tcW w:w="1701" w:type="dxa"/>
            <w:tcBorders>
              <w:top w:val="single" w:sz="8" w:space="0" w:color="000001"/>
              <w:left w:val="single" w:sz="8" w:space="0" w:color="00000A"/>
              <w:bottom w:val="single" w:sz="8" w:space="0" w:color="000001"/>
              <w:right w:val="single" w:sz="8" w:space="0" w:color="00000A"/>
            </w:tcBorders>
            <w:shd w:val="clear" w:color="auto" w:fill="auto"/>
            <w:tcMar>
              <w:left w:w="19"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416"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194"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sz w:val="20"/>
                <w:szCs w:val="20"/>
              </w:rPr>
            </w:pPr>
            <w:r>
              <w:rPr>
                <w:rFonts w:ascii="Arial" w:hAnsi="Arial" w:cs="Arial"/>
                <w:sz w:val="20"/>
                <w:szCs w:val="20"/>
              </w:rPr>
              <w:t> </w:t>
            </w:r>
          </w:p>
        </w:tc>
        <w:tc>
          <w:tcPr>
            <w:tcW w:w="1397"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235" w:type="dxa"/>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r>
      <w:tr w:rsidR="00F87902">
        <w:trPr>
          <w:trHeight w:val="315"/>
        </w:trPr>
        <w:tc>
          <w:tcPr>
            <w:tcW w:w="2413"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F87902" w:rsidRDefault="00A519F9">
            <w:pPr>
              <w:jc w:val="both"/>
              <w:rPr>
                <w:rFonts w:ascii="Arial" w:hAnsi="Arial" w:cs="Arial"/>
                <w:i/>
                <w:iCs/>
                <w:sz w:val="20"/>
                <w:szCs w:val="20"/>
              </w:rPr>
            </w:pPr>
            <w:r>
              <w:rPr>
                <w:rFonts w:ascii="Arial" w:hAnsi="Arial" w:cs="Arial"/>
                <w:i/>
                <w:iCs/>
                <w:sz w:val="20"/>
                <w:szCs w:val="20"/>
              </w:rPr>
              <w:t> </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9"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19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397"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c>
          <w:tcPr>
            <w:tcW w:w="1235"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F87902" w:rsidRDefault="00A519F9">
            <w:pPr>
              <w:jc w:val="right"/>
              <w:rPr>
                <w:rFonts w:ascii="Arial" w:hAnsi="Arial" w:cs="Arial"/>
                <w:i/>
                <w:iCs/>
                <w:sz w:val="20"/>
                <w:szCs w:val="20"/>
              </w:rPr>
            </w:pPr>
            <w:r>
              <w:rPr>
                <w:rFonts w:ascii="Arial" w:hAnsi="Arial" w:cs="Arial"/>
                <w:i/>
                <w:iCs/>
                <w:sz w:val="20"/>
                <w:szCs w:val="20"/>
              </w:rPr>
              <w:t> </w:t>
            </w:r>
          </w:p>
        </w:tc>
      </w:tr>
      <w:tr w:rsidR="00F87902">
        <w:trPr>
          <w:trHeight w:val="300"/>
        </w:trPr>
        <w:tc>
          <w:tcPr>
            <w:tcW w:w="2413" w:type="dxa"/>
            <w:tcBorders>
              <w:top w:val="single" w:sz="8" w:space="0" w:color="000001"/>
              <w:left w:val="single" w:sz="8" w:space="0" w:color="00000A"/>
              <w:bottom w:val="single" w:sz="8" w:space="0" w:color="000001"/>
              <w:right w:val="single" w:sz="8" w:space="0" w:color="00000A"/>
            </w:tcBorders>
            <w:shd w:val="pct12" w:color="FFFFFF" w:fill="FFFFFF"/>
            <w:tcMar>
              <w:left w:w="10" w:type="dxa"/>
            </w:tcMar>
            <w:vAlign w:val="bottom"/>
          </w:tcPr>
          <w:p w:rsidR="00F87902" w:rsidRDefault="00A519F9">
            <w:pPr>
              <w:jc w:val="both"/>
              <w:rPr>
                <w:rFonts w:ascii="Arial" w:hAnsi="Arial" w:cs="Arial"/>
                <w:b/>
                <w:bCs/>
                <w:sz w:val="20"/>
                <w:szCs w:val="20"/>
              </w:rPr>
            </w:pPr>
            <w:r>
              <w:rPr>
                <w:rFonts w:ascii="Arial" w:hAnsi="Arial" w:cs="Arial"/>
                <w:b/>
                <w:bCs/>
                <w:sz w:val="20"/>
                <w:szCs w:val="20"/>
              </w:rPr>
              <w:t xml:space="preserve">TOTAL INGRESOS PROPIOS </w:t>
            </w:r>
          </w:p>
        </w:tc>
        <w:tc>
          <w:tcPr>
            <w:tcW w:w="1701" w:type="dxa"/>
            <w:vMerge w:val="restart"/>
            <w:tcBorders>
              <w:top w:val="single" w:sz="8" w:space="0" w:color="000001"/>
              <w:left w:val="single" w:sz="8" w:space="0" w:color="00000A"/>
              <w:bottom w:val="single" w:sz="8" w:space="0" w:color="000001"/>
              <w:right w:val="single" w:sz="8" w:space="0" w:color="00000A"/>
            </w:tcBorders>
            <w:shd w:val="pct12" w:color="FFFFFF" w:fill="FFFFFF"/>
            <w:tcMar>
              <w:left w:w="10" w:type="dxa"/>
            </w:tcMar>
            <w:vAlign w:val="bottom"/>
          </w:tcPr>
          <w:p w:rsidR="00F87902" w:rsidRDefault="00A519F9">
            <w:pPr>
              <w:jc w:val="right"/>
              <w:rPr>
                <w:b/>
                <w:bCs/>
                <w:sz w:val="20"/>
                <w:szCs w:val="20"/>
              </w:rPr>
            </w:pPr>
            <w:r>
              <w:rPr>
                <w:b/>
                <w:bCs/>
                <w:sz w:val="20"/>
                <w:szCs w:val="20"/>
              </w:rPr>
              <w:t>6.873,76</w:t>
            </w:r>
          </w:p>
        </w:tc>
        <w:tc>
          <w:tcPr>
            <w:tcW w:w="1416" w:type="dxa"/>
            <w:vMerge w:val="restart"/>
            <w:tcBorders>
              <w:top w:val="single" w:sz="8" w:space="0" w:color="000001"/>
              <w:left w:val="single" w:sz="8" w:space="0" w:color="00000A"/>
              <w:bottom w:val="single" w:sz="8" w:space="0" w:color="000001"/>
              <w:right w:val="single" w:sz="8" w:space="0" w:color="00000A"/>
            </w:tcBorders>
            <w:shd w:val="pct12" w:color="FFFFFF" w:fill="FFFFFF"/>
            <w:tcMar>
              <w:left w:w="10" w:type="dxa"/>
            </w:tcMar>
            <w:vAlign w:val="bottom"/>
          </w:tcPr>
          <w:p w:rsidR="00F87902" w:rsidRDefault="00A519F9">
            <w:pPr>
              <w:jc w:val="right"/>
              <w:rPr>
                <w:b/>
                <w:bCs/>
                <w:sz w:val="20"/>
                <w:szCs w:val="20"/>
              </w:rPr>
            </w:pPr>
            <w:r>
              <w:rPr>
                <w:b/>
                <w:bCs/>
                <w:sz w:val="20"/>
                <w:szCs w:val="20"/>
              </w:rPr>
              <w:t>5,32%</w:t>
            </w:r>
          </w:p>
        </w:tc>
        <w:tc>
          <w:tcPr>
            <w:tcW w:w="1194" w:type="dxa"/>
            <w:vMerge w:val="restart"/>
            <w:tcBorders>
              <w:top w:val="single" w:sz="8" w:space="0" w:color="000001"/>
              <w:left w:val="single" w:sz="8" w:space="0" w:color="00000A"/>
              <w:bottom w:val="single" w:sz="8" w:space="0" w:color="000001"/>
              <w:right w:val="single" w:sz="8" w:space="0" w:color="00000A"/>
            </w:tcBorders>
            <w:shd w:val="pct12" w:color="FFFFFF" w:fill="FFFFFF"/>
            <w:tcMar>
              <w:left w:w="10" w:type="dxa"/>
            </w:tcMar>
            <w:vAlign w:val="bottom"/>
          </w:tcPr>
          <w:p w:rsidR="00F87902" w:rsidRDefault="00A519F9">
            <w:pPr>
              <w:jc w:val="right"/>
              <w:rPr>
                <w:b/>
                <w:bCs/>
                <w:sz w:val="20"/>
                <w:szCs w:val="20"/>
              </w:rPr>
            </w:pPr>
            <w:r>
              <w:rPr>
                <w:b/>
                <w:bCs/>
                <w:sz w:val="20"/>
                <w:szCs w:val="20"/>
              </w:rPr>
              <w:t>7.727,16</w:t>
            </w:r>
          </w:p>
        </w:tc>
        <w:tc>
          <w:tcPr>
            <w:tcW w:w="1397" w:type="dxa"/>
            <w:vMerge w:val="restart"/>
            <w:tcBorders>
              <w:top w:val="single" w:sz="8" w:space="0" w:color="000001"/>
              <w:left w:val="single" w:sz="8" w:space="0" w:color="00000A"/>
              <w:bottom w:val="single" w:sz="8" w:space="0" w:color="000001"/>
              <w:right w:val="single" w:sz="8" w:space="0" w:color="00000A"/>
            </w:tcBorders>
            <w:shd w:val="pct12" w:color="FFFFFF" w:fill="FFFFFF"/>
            <w:tcMar>
              <w:left w:w="10" w:type="dxa"/>
            </w:tcMar>
            <w:vAlign w:val="bottom"/>
          </w:tcPr>
          <w:p w:rsidR="00F87902" w:rsidRDefault="00A519F9">
            <w:pPr>
              <w:jc w:val="right"/>
              <w:rPr>
                <w:b/>
                <w:bCs/>
                <w:sz w:val="20"/>
                <w:szCs w:val="20"/>
              </w:rPr>
            </w:pPr>
            <w:r>
              <w:rPr>
                <w:b/>
                <w:bCs/>
                <w:sz w:val="20"/>
                <w:szCs w:val="20"/>
              </w:rPr>
              <w:t>6,07%</w:t>
            </w:r>
          </w:p>
        </w:tc>
        <w:tc>
          <w:tcPr>
            <w:tcW w:w="1235" w:type="dxa"/>
            <w:vMerge w:val="restart"/>
            <w:tcBorders>
              <w:top w:val="single" w:sz="8" w:space="0" w:color="000001"/>
              <w:left w:val="single" w:sz="8" w:space="0" w:color="00000A"/>
              <w:bottom w:val="single" w:sz="8" w:space="0" w:color="000001"/>
              <w:right w:val="single" w:sz="8" w:space="0" w:color="00000A"/>
            </w:tcBorders>
            <w:shd w:val="clear" w:color="auto" w:fill="auto"/>
            <w:tcMar>
              <w:left w:w="10" w:type="dxa"/>
            </w:tcMar>
            <w:vAlign w:val="bottom"/>
          </w:tcPr>
          <w:p w:rsidR="00F87902" w:rsidRDefault="00A519F9">
            <w:pPr>
              <w:jc w:val="right"/>
              <w:rPr>
                <w:b/>
                <w:bCs/>
                <w:i/>
                <w:iCs/>
                <w:sz w:val="20"/>
                <w:szCs w:val="20"/>
              </w:rPr>
            </w:pPr>
            <w:r>
              <w:rPr>
                <w:b/>
                <w:bCs/>
                <w:i/>
                <w:iCs/>
                <w:sz w:val="20"/>
                <w:szCs w:val="20"/>
              </w:rPr>
              <w:t>112,42%</w:t>
            </w:r>
          </w:p>
        </w:tc>
      </w:tr>
      <w:tr w:rsidR="00F87902">
        <w:trPr>
          <w:trHeight w:val="1333"/>
        </w:trPr>
        <w:tc>
          <w:tcPr>
            <w:tcW w:w="2413" w:type="dxa"/>
            <w:tcBorders>
              <w:top w:val="single" w:sz="8" w:space="0" w:color="00000A"/>
              <w:left w:val="single" w:sz="8" w:space="0" w:color="00000A"/>
              <w:bottom w:val="single" w:sz="8" w:space="0" w:color="00000A"/>
              <w:right w:val="single" w:sz="8" w:space="0" w:color="00000A"/>
            </w:tcBorders>
            <w:shd w:val="pct12" w:color="FFFFFF" w:fill="FFFFFF"/>
            <w:tcMar>
              <w:left w:w="10" w:type="dxa"/>
            </w:tcMar>
            <w:vAlign w:val="bottom"/>
          </w:tcPr>
          <w:p w:rsidR="00F87902" w:rsidRDefault="00A519F9">
            <w:pPr>
              <w:jc w:val="both"/>
              <w:rPr>
                <w:rFonts w:ascii="Arial" w:hAnsi="Arial" w:cs="Arial"/>
                <w:i/>
                <w:iCs/>
                <w:sz w:val="20"/>
                <w:szCs w:val="20"/>
              </w:rPr>
            </w:pPr>
            <w:r>
              <w:rPr>
                <w:rFonts w:ascii="Arial" w:hAnsi="Arial" w:cs="Arial"/>
                <w:i/>
                <w:iCs/>
                <w:sz w:val="20"/>
                <w:szCs w:val="20"/>
              </w:rPr>
              <w:t>Venta de bienes y servicios, derechos administrativos, ingresos de la propiedad, otros ingresos no tributarios</w:t>
            </w:r>
          </w:p>
        </w:tc>
        <w:tc>
          <w:tcPr>
            <w:tcW w:w="1701"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416"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194"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397"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sz w:val="20"/>
                <w:szCs w:val="20"/>
              </w:rPr>
            </w:pPr>
          </w:p>
        </w:tc>
        <w:tc>
          <w:tcPr>
            <w:tcW w:w="1235" w:type="dxa"/>
            <w:vMerge/>
            <w:tcBorders>
              <w:top w:val="single" w:sz="8" w:space="0" w:color="000001"/>
              <w:left w:val="single" w:sz="8" w:space="0" w:color="00000A"/>
              <w:bottom w:val="single" w:sz="8" w:space="0" w:color="000001"/>
              <w:right w:val="single" w:sz="8" w:space="0" w:color="00000A"/>
            </w:tcBorders>
            <w:shd w:val="clear" w:color="auto" w:fill="auto"/>
            <w:tcMar>
              <w:left w:w="10" w:type="dxa"/>
            </w:tcMar>
            <w:vAlign w:val="center"/>
          </w:tcPr>
          <w:p w:rsidR="00F87902" w:rsidRDefault="00F87902">
            <w:pPr>
              <w:rPr>
                <w:b/>
                <w:bCs/>
                <w:i/>
                <w:iCs/>
                <w:sz w:val="20"/>
                <w:szCs w:val="20"/>
              </w:rPr>
            </w:pPr>
          </w:p>
        </w:tc>
      </w:tr>
    </w:tbl>
    <w:p w:rsidR="00F87902" w:rsidRDefault="00F87902">
      <w:pPr>
        <w:spacing w:line="360" w:lineRule="auto"/>
        <w:ind w:left="1068"/>
        <w:rPr>
          <w:rFonts w:ascii="Arial" w:hAnsi="Arial" w:cs="Arial"/>
          <w:b/>
        </w:rPr>
      </w:pPr>
    </w:p>
    <w:p w:rsidR="00F87902" w:rsidRDefault="00A519F9">
      <w:pPr>
        <w:spacing w:line="360" w:lineRule="auto"/>
        <w:jc w:val="both"/>
        <w:rPr>
          <w:rFonts w:ascii="Arial" w:hAnsi="Arial" w:cs="Arial"/>
          <w:sz w:val="22"/>
          <w:szCs w:val="22"/>
        </w:rPr>
      </w:pPr>
      <w:r>
        <w:rPr>
          <w:rFonts w:ascii="Arial" w:hAnsi="Arial" w:cs="Arial"/>
          <w:b/>
          <w:i/>
          <w:sz w:val="18"/>
          <w:szCs w:val="18"/>
        </w:rPr>
        <w:t>Fuente: Sección de Presupuesto, Programa de Gestión Financiera.</w:t>
      </w:r>
      <w:r>
        <w:br w:type="page"/>
      </w:r>
    </w:p>
    <w:p w:rsidR="00F87902" w:rsidRDefault="00A519F9">
      <w:pPr>
        <w:spacing w:line="360" w:lineRule="auto"/>
        <w:jc w:val="both"/>
        <w:rPr>
          <w:rFonts w:ascii="Arial" w:hAnsi="Arial" w:cs="Arial"/>
          <w:sz w:val="22"/>
          <w:szCs w:val="22"/>
        </w:rPr>
      </w:pPr>
      <w:r>
        <w:rPr>
          <w:rFonts w:ascii="Arial" w:hAnsi="Arial" w:cs="Arial"/>
          <w:sz w:val="22"/>
          <w:szCs w:val="22"/>
        </w:rPr>
        <w:lastRenderedPageBreak/>
        <w:t>La captación de los recursos financieros institucionales al 31 de diciembre del 2015 alcanzó ₡127.354,24 millones; es decir, el 98,48% de lo presupuestado, porcentaje que corresponde al ingreso de toda la Universidad, y considera la totalidad de los rubros de las cuentas de ingresos.</w:t>
      </w:r>
    </w:p>
    <w:p w:rsidR="00F87902" w:rsidRDefault="00F87902">
      <w:pPr>
        <w:spacing w:line="360" w:lineRule="auto"/>
        <w:jc w:val="both"/>
        <w:rPr>
          <w:rFonts w:ascii="Arial" w:hAnsi="Arial" w:cs="Arial"/>
          <w:sz w:val="22"/>
          <w:szCs w:val="22"/>
        </w:rPr>
      </w:pPr>
    </w:p>
    <w:p w:rsidR="00F87902" w:rsidRDefault="00A519F9">
      <w:pPr>
        <w:spacing w:line="360" w:lineRule="auto"/>
        <w:jc w:val="both"/>
        <w:rPr>
          <w:rFonts w:ascii="Arial" w:hAnsi="Arial" w:cs="Arial"/>
          <w:sz w:val="22"/>
          <w:szCs w:val="22"/>
        </w:rPr>
      </w:pPr>
      <w:r>
        <w:rPr>
          <w:rFonts w:ascii="Arial" w:hAnsi="Arial" w:cs="Arial"/>
          <w:sz w:val="22"/>
          <w:szCs w:val="22"/>
        </w:rPr>
        <w:t xml:space="preserve">En lo que respecta a los </w:t>
      </w:r>
      <w:r>
        <w:rPr>
          <w:rFonts w:ascii="Arial" w:hAnsi="Arial" w:cs="Arial"/>
          <w:i/>
          <w:sz w:val="22"/>
          <w:szCs w:val="22"/>
        </w:rPr>
        <w:t xml:space="preserve">Ingresos procedentes del Gobierno Central, otras leyes, transferencias del sector público y sector externo, </w:t>
      </w:r>
      <w:r>
        <w:rPr>
          <w:rFonts w:ascii="Arial" w:hAnsi="Arial" w:cs="Arial"/>
          <w:sz w:val="22"/>
          <w:szCs w:val="22"/>
        </w:rPr>
        <w:t xml:space="preserve">han ingresado ₡98.603,13 millones, equivalentes a un 97,22% de lo presupuestado. </w:t>
      </w:r>
    </w:p>
    <w:p w:rsidR="00F87902" w:rsidRDefault="00F87902">
      <w:pPr>
        <w:spacing w:line="360" w:lineRule="auto"/>
        <w:jc w:val="both"/>
        <w:rPr>
          <w:rFonts w:ascii="Arial" w:hAnsi="Arial" w:cs="Arial"/>
          <w:sz w:val="22"/>
          <w:szCs w:val="22"/>
        </w:rPr>
      </w:pPr>
    </w:p>
    <w:p w:rsidR="00F87902" w:rsidRDefault="00A519F9">
      <w:pPr>
        <w:spacing w:line="360" w:lineRule="auto"/>
        <w:jc w:val="both"/>
        <w:rPr>
          <w:rFonts w:ascii="Arial" w:hAnsi="Arial" w:cs="Arial"/>
          <w:sz w:val="22"/>
          <w:szCs w:val="22"/>
        </w:rPr>
      </w:pPr>
      <w:r>
        <w:rPr>
          <w:rFonts w:ascii="Arial" w:hAnsi="Arial" w:cs="Arial"/>
          <w:sz w:val="22"/>
          <w:szCs w:val="22"/>
        </w:rPr>
        <w:t xml:space="preserve">En el rubro </w:t>
      </w:r>
      <w:r>
        <w:rPr>
          <w:rFonts w:ascii="Arial" w:hAnsi="Arial" w:cs="Arial"/>
          <w:i/>
          <w:sz w:val="22"/>
          <w:szCs w:val="22"/>
        </w:rPr>
        <w:t>Efectos de períodos anteriores</w:t>
      </w:r>
      <w:r>
        <w:rPr>
          <w:rFonts w:ascii="Arial" w:hAnsi="Arial" w:cs="Arial"/>
          <w:sz w:val="22"/>
          <w:szCs w:val="22"/>
        </w:rPr>
        <w:t>, se ha registrado como ingresos la suma de ₡21.023,95 millones que corresponde al 100%, monto que contempla el superávit del periodo 2014.</w:t>
      </w:r>
    </w:p>
    <w:p w:rsidR="00F87902" w:rsidRDefault="00F87902">
      <w:pPr>
        <w:spacing w:line="360" w:lineRule="auto"/>
        <w:ind w:left="1068"/>
        <w:jc w:val="both"/>
        <w:rPr>
          <w:rFonts w:ascii="Arial" w:hAnsi="Arial" w:cs="Arial"/>
          <w:sz w:val="22"/>
          <w:szCs w:val="22"/>
        </w:rPr>
      </w:pPr>
    </w:p>
    <w:p w:rsidR="00F87902" w:rsidRDefault="00A519F9">
      <w:pPr>
        <w:spacing w:line="360" w:lineRule="auto"/>
        <w:jc w:val="both"/>
        <w:rPr>
          <w:rFonts w:ascii="Arial" w:hAnsi="Arial" w:cs="Arial"/>
          <w:sz w:val="22"/>
          <w:szCs w:val="22"/>
        </w:rPr>
      </w:pPr>
      <w:r>
        <w:rPr>
          <w:rFonts w:ascii="Arial" w:hAnsi="Arial" w:cs="Arial"/>
          <w:sz w:val="22"/>
          <w:szCs w:val="22"/>
        </w:rPr>
        <w:t xml:space="preserve">Por su parte, en </w:t>
      </w:r>
      <w:r>
        <w:rPr>
          <w:rFonts w:ascii="Arial" w:hAnsi="Arial" w:cs="Arial"/>
          <w:i/>
          <w:sz w:val="22"/>
          <w:szCs w:val="22"/>
        </w:rPr>
        <w:t>Ingresos propios</w:t>
      </w:r>
      <w:r>
        <w:rPr>
          <w:rFonts w:ascii="Arial" w:hAnsi="Arial" w:cs="Arial"/>
          <w:sz w:val="22"/>
          <w:szCs w:val="22"/>
        </w:rPr>
        <w:t xml:space="preserve"> se recibieron ₡7.727,16 millones, correspondientes al 112,42% de lo presupuestado, lo cual incluye partidas importantes tales como </w:t>
      </w:r>
      <w:r>
        <w:rPr>
          <w:rFonts w:ascii="Arial" w:hAnsi="Arial" w:cs="Arial"/>
          <w:i/>
          <w:sz w:val="22"/>
          <w:szCs w:val="22"/>
        </w:rPr>
        <w:t>Venta de bienes y servicios,</w:t>
      </w:r>
      <w:r>
        <w:rPr>
          <w:rFonts w:ascii="Arial" w:hAnsi="Arial" w:cs="Arial"/>
          <w:sz w:val="22"/>
          <w:szCs w:val="22"/>
        </w:rPr>
        <w:t xml:space="preserve"> con un ingreso de ₡719,39 millones que conforma un 95,92% de ejecución; </w:t>
      </w:r>
      <w:r>
        <w:rPr>
          <w:rFonts w:ascii="Arial" w:hAnsi="Arial" w:cs="Arial"/>
          <w:i/>
          <w:sz w:val="22"/>
          <w:szCs w:val="22"/>
        </w:rPr>
        <w:t>Derechos administrativos</w:t>
      </w:r>
      <w:r>
        <w:rPr>
          <w:rFonts w:ascii="Arial" w:hAnsi="Arial" w:cs="Arial"/>
          <w:sz w:val="22"/>
          <w:szCs w:val="22"/>
        </w:rPr>
        <w:t xml:space="preserve"> con un ingreso de ₡4.422,65 millones, para un 101,91% (entre ellos matrícula, recargos, certificaciones); </w:t>
      </w:r>
      <w:r>
        <w:rPr>
          <w:rFonts w:ascii="Arial" w:hAnsi="Arial" w:cs="Arial"/>
          <w:i/>
          <w:sz w:val="22"/>
          <w:szCs w:val="22"/>
        </w:rPr>
        <w:t>Ingresos de la propiedad</w:t>
      </w:r>
      <w:r>
        <w:rPr>
          <w:rFonts w:ascii="Arial" w:hAnsi="Arial" w:cs="Arial"/>
          <w:sz w:val="22"/>
          <w:szCs w:val="22"/>
        </w:rPr>
        <w:t xml:space="preserve"> por ₡2.415,05 millones, equivalente a un 158,22%; y la subpartida</w:t>
      </w:r>
      <w:r>
        <w:rPr>
          <w:rFonts w:ascii="Arial" w:hAnsi="Arial" w:cs="Arial"/>
          <w:i/>
          <w:sz w:val="22"/>
          <w:szCs w:val="22"/>
        </w:rPr>
        <w:t>Otros ingresos no tributarios</w:t>
      </w:r>
      <w:r>
        <w:rPr>
          <w:rFonts w:ascii="Arial" w:hAnsi="Arial" w:cs="Arial"/>
          <w:sz w:val="22"/>
          <w:szCs w:val="22"/>
        </w:rPr>
        <w:t xml:space="preserve"> con una ejecución de ₡170,07 millones, suma que significa un 65,98% de lo presupuestado.</w:t>
      </w:r>
    </w:p>
    <w:p w:rsidR="00F87902" w:rsidRDefault="00F87902">
      <w:pPr>
        <w:jc w:val="both"/>
        <w:rPr>
          <w:b/>
          <w:sz w:val="28"/>
          <w:u w:val="single"/>
        </w:rPr>
      </w:pPr>
    </w:p>
    <w:p w:rsidR="00F87902" w:rsidRDefault="00F87902">
      <w:pPr>
        <w:ind w:left="720"/>
        <w:jc w:val="both"/>
        <w:rPr>
          <w:rFonts w:ascii="Arial" w:hAnsi="Arial" w:cs="Arial"/>
        </w:rPr>
      </w:pPr>
    </w:p>
    <w:p w:rsidR="00F87902" w:rsidRDefault="00A519F9">
      <w:pPr>
        <w:spacing w:line="360" w:lineRule="auto"/>
        <w:ind w:left="708"/>
        <w:jc w:val="both"/>
        <w:rPr>
          <w:rFonts w:ascii="Arial" w:hAnsi="Arial" w:cs="Arial"/>
          <w:b/>
        </w:rPr>
      </w:pPr>
      <w:r>
        <w:rPr>
          <w:rFonts w:ascii="Arial" w:hAnsi="Arial" w:cs="Arial"/>
          <w:b/>
        </w:rPr>
        <w:t xml:space="preserve">Meta 1.2 Ejecutar 1.682 actividades y acuerdos en los órganos de dirección superior que orienten el desarrollo universitario.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 atención de actividades (1.757) en estos ámbitos muestra un cumplimiento del </w:t>
      </w:r>
      <w:r>
        <w:rPr>
          <w:rFonts w:ascii="Arial" w:hAnsi="Arial" w:cs="Arial"/>
          <w:b/>
          <w:sz w:val="22"/>
          <w:szCs w:val="22"/>
        </w:rPr>
        <w:t xml:space="preserve">100%. </w:t>
      </w:r>
      <w:r>
        <w:rPr>
          <w:rFonts w:ascii="Arial" w:hAnsi="Arial" w:cs="Arial"/>
          <w:sz w:val="22"/>
          <w:szCs w:val="22"/>
        </w:rPr>
        <w:t xml:space="preserve">A continuación  se presentan algunos resultados:    </w:t>
      </w:r>
    </w:p>
    <w:p w:rsidR="00F87902" w:rsidRDefault="00F87902">
      <w:pPr>
        <w:ind w:left="708"/>
        <w:jc w:val="both"/>
        <w:rPr>
          <w:rFonts w:ascii="Arial" w:hAnsi="Arial" w:cs="Arial"/>
          <w:color w:val="0070C0"/>
          <w:sz w:val="22"/>
          <w:szCs w:val="22"/>
        </w:rPr>
      </w:pPr>
    </w:p>
    <w:p w:rsidR="00654970" w:rsidRDefault="00654970">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 xml:space="preserve">Consejo Universitario. </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580 acuerdos</w:t>
      </w:r>
      <w:r>
        <w:rPr>
          <w:rFonts w:ascii="Arial" w:hAnsi="Arial" w:cs="Arial"/>
          <w:sz w:val="22"/>
          <w:szCs w:val="22"/>
        </w:rPr>
        <w:t xml:space="preserve"> transcritos (83%).        </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850 dictámenes</w:t>
      </w:r>
      <w:r>
        <w:rPr>
          <w:rFonts w:ascii="Arial" w:hAnsi="Arial" w:cs="Arial"/>
          <w:sz w:val="22"/>
          <w:szCs w:val="22"/>
        </w:rPr>
        <w:t xml:space="preserve"> tramitados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b/>
          <w:sz w:val="22"/>
          <w:szCs w:val="22"/>
        </w:rPr>
      </w:pPr>
      <w:r>
        <w:rPr>
          <w:rFonts w:ascii="Arial" w:hAnsi="Arial" w:cs="Arial"/>
          <w:b/>
          <w:sz w:val="22"/>
          <w:szCs w:val="22"/>
        </w:rPr>
        <w:t>3 asambleas</w:t>
      </w:r>
      <w:r>
        <w:rPr>
          <w:rFonts w:ascii="Arial" w:hAnsi="Arial" w:cs="Arial"/>
          <w:sz w:val="22"/>
          <w:szCs w:val="22"/>
        </w:rPr>
        <w:t xml:space="preserve"> de representantes atendidas (100%). </w:t>
      </w:r>
    </w:p>
    <w:p w:rsidR="00F87902" w:rsidRDefault="00F87902">
      <w:pPr>
        <w:pStyle w:val="Prrafodelista"/>
        <w:rPr>
          <w:rFonts w:ascii="Arial" w:hAnsi="Arial" w:cs="Arial"/>
          <w:b/>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40 UNA-Gaceta </w:t>
      </w:r>
      <w:r>
        <w:rPr>
          <w:rFonts w:ascii="Arial" w:hAnsi="Arial" w:cs="Arial"/>
          <w:sz w:val="22"/>
          <w:szCs w:val="22"/>
        </w:rPr>
        <w:t>digitales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13 gestiones</w:t>
      </w:r>
      <w:r>
        <w:rPr>
          <w:rFonts w:ascii="Arial" w:hAnsi="Arial" w:cs="Arial"/>
          <w:sz w:val="22"/>
          <w:szCs w:val="22"/>
        </w:rPr>
        <w:t xml:space="preserve"> de representación institucional (80%).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90 acuerdos</w:t>
      </w:r>
      <w:r>
        <w:rPr>
          <w:rFonts w:ascii="Arial" w:hAnsi="Arial" w:cs="Arial"/>
          <w:sz w:val="22"/>
          <w:szCs w:val="22"/>
        </w:rPr>
        <w:t xml:space="preserve"> del Consejo Académico (Consaca) transcritos (90%).</w:t>
      </w:r>
    </w:p>
    <w:p w:rsidR="00F87902" w:rsidRDefault="00A519F9">
      <w:pPr>
        <w:numPr>
          <w:ilvl w:val="0"/>
          <w:numId w:val="12"/>
        </w:numPr>
        <w:jc w:val="both"/>
        <w:rPr>
          <w:rFonts w:ascii="Arial" w:hAnsi="Arial" w:cs="Arial"/>
          <w:sz w:val="22"/>
          <w:szCs w:val="22"/>
        </w:rPr>
      </w:pPr>
      <w:r>
        <w:rPr>
          <w:rFonts w:ascii="Arial" w:hAnsi="Arial" w:cs="Arial"/>
          <w:b/>
          <w:sz w:val="22"/>
          <w:szCs w:val="22"/>
        </w:rPr>
        <w:lastRenderedPageBreak/>
        <w:t>25 dictámenes</w:t>
      </w:r>
      <w:r>
        <w:rPr>
          <w:rFonts w:ascii="Arial" w:hAnsi="Arial" w:cs="Arial"/>
          <w:sz w:val="22"/>
          <w:szCs w:val="22"/>
        </w:rPr>
        <w:t xml:space="preserve"> de comisiones del </w:t>
      </w:r>
      <w:r>
        <w:rPr>
          <w:rFonts w:ascii="Arial" w:hAnsi="Arial" w:cs="Arial"/>
          <w:i/>
          <w:sz w:val="22"/>
          <w:szCs w:val="22"/>
        </w:rPr>
        <w:t>Consaca</w:t>
      </w:r>
      <w:r>
        <w:rPr>
          <w:rFonts w:ascii="Arial" w:hAnsi="Arial" w:cs="Arial"/>
          <w:sz w:val="22"/>
          <w:szCs w:val="22"/>
        </w:rPr>
        <w:t xml:space="preserve"> tramitados (91%).</w:t>
      </w:r>
    </w:p>
    <w:p w:rsidR="00F87902" w:rsidRDefault="00F87902">
      <w:pPr>
        <w:pStyle w:val="Prrafodelista"/>
        <w:ind w:left="1068"/>
        <w:rPr>
          <w:rFonts w:ascii="Arial" w:hAnsi="Arial" w:cs="Arial"/>
          <w:b/>
          <w:i/>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Vicerrectoría de Administración.</w:t>
      </w:r>
    </w:p>
    <w:p w:rsidR="00F87902" w:rsidRDefault="00F87902">
      <w:pPr>
        <w:ind w:left="708"/>
        <w:jc w:val="both"/>
        <w:rPr>
          <w:rFonts w:ascii="Arial" w:hAnsi="Arial" w:cs="Arial"/>
          <w:b/>
          <w:i/>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10 prototipos</w:t>
      </w:r>
      <w:r>
        <w:rPr>
          <w:rFonts w:ascii="Arial" w:hAnsi="Arial" w:cs="Arial"/>
          <w:sz w:val="22"/>
          <w:szCs w:val="22"/>
        </w:rPr>
        <w:t xml:space="preserve"> de los correspondientes módulos del sistema de información para los programas de PGF y Proveeduría: proveedores, catálogo de bienes y servicios, contabilidad presupuestaria, contabilidad general, formulación presupuestaria, bancos, embargos, pensiones alimenticias, ausencias y accidentes (100%).</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60 agentes de cambio formados</w:t>
      </w:r>
      <w:r>
        <w:rPr>
          <w:rFonts w:ascii="Arial" w:hAnsi="Arial" w:cs="Arial"/>
          <w:sz w:val="22"/>
          <w:szCs w:val="22"/>
        </w:rPr>
        <w:t>, con las competencias y las habilidades requeridas para liderar el proceso de cambio (100%).</w:t>
      </w:r>
    </w:p>
    <w:p w:rsidR="00F87902" w:rsidRDefault="00F87902">
      <w:pPr>
        <w:pStyle w:val="Prrafodelista"/>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ind w:left="708"/>
        <w:jc w:val="both"/>
        <w:rPr>
          <w:rFonts w:ascii="Arial" w:hAnsi="Arial" w:cs="Arial"/>
          <w:b/>
          <w:i/>
          <w:sz w:val="22"/>
          <w:szCs w:val="22"/>
        </w:rPr>
      </w:pPr>
      <w:r>
        <w:rPr>
          <w:rFonts w:ascii="Arial" w:hAnsi="Arial" w:cs="Arial"/>
          <w:b/>
          <w:i/>
          <w:sz w:val="22"/>
          <w:szCs w:val="22"/>
        </w:rPr>
        <w:t xml:space="preserve">Consejo de Servicios Comunes (Conseco).      </w:t>
      </w:r>
    </w:p>
    <w:p w:rsidR="00F87902" w:rsidRDefault="00F87902">
      <w:pPr>
        <w:ind w:left="70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Sesiones </w:t>
      </w:r>
      <w:r>
        <w:rPr>
          <w:rFonts w:ascii="Arial" w:hAnsi="Arial" w:cs="Arial"/>
          <w:sz w:val="22"/>
          <w:szCs w:val="22"/>
        </w:rPr>
        <w:t xml:space="preserve">(100%) en las cuales se trataron los siguientes temas:    </w:t>
      </w:r>
    </w:p>
    <w:p w:rsidR="00F87902" w:rsidRDefault="00F87902">
      <w:pPr>
        <w:ind w:left="1068"/>
        <w:jc w:val="both"/>
        <w:rPr>
          <w:rFonts w:ascii="Arial" w:hAnsi="Arial" w:cs="Arial"/>
          <w:sz w:val="22"/>
          <w:szCs w:val="22"/>
        </w:rPr>
      </w:pP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Plan de mejoramiento institucional</w:t>
      </w:r>
      <w:r>
        <w:rPr>
          <w:rFonts w:ascii="Arial" w:hAnsi="Arial" w:cs="Arial"/>
          <w:sz w:val="22"/>
          <w:szCs w:val="22"/>
          <w:lang w:eastAsia="en-US"/>
        </w:rPr>
        <w:t xml:space="preserve">. </w:t>
      </w:r>
      <w:r>
        <w:rPr>
          <w:rFonts w:ascii="Arial" w:hAnsi="Arial" w:cs="Arial"/>
          <w:i/>
          <w:sz w:val="22"/>
          <w:szCs w:val="22"/>
          <w:lang w:eastAsia="en-US"/>
        </w:rPr>
        <w:t>Prodemi</w:t>
      </w:r>
      <w:r>
        <w:rPr>
          <w:rFonts w:ascii="Arial" w:hAnsi="Arial" w:cs="Arial"/>
          <w:sz w:val="22"/>
          <w:szCs w:val="22"/>
          <w:lang w:eastAsia="en-US"/>
        </w:rPr>
        <w:t xml:space="preserve"> presentó la información sobre las obras de mantenimiento y de diseño que se van a realizar en campus Pérez Zeledón y campus Coto, durante los periodos 2015-2017, a fin de que las autoridades se preparen para las intervenciones que se van a realizar durante estos años. La Unidad Coordinadora del Proyecto Institucional (UCPI), en conjunto con </w:t>
      </w:r>
      <w:r>
        <w:rPr>
          <w:rFonts w:ascii="Arial" w:hAnsi="Arial" w:cs="Arial"/>
          <w:i/>
          <w:sz w:val="22"/>
          <w:szCs w:val="22"/>
          <w:lang w:eastAsia="en-US"/>
        </w:rPr>
        <w:t>Prodemi</w:t>
      </w:r>
      <w:r>
        <w:rPr>
          <w:rFonts w:ascii="Arial" w:hAnsi="Arial" w:cs="Arial"/>
          <w:sz w:val="22"/>
          <w:szCs w:val="22"/>
          <w:lang w:eastAsia="en-US"/>
        </w:rPr>
        <w:t>, realizaron contrataciones, confección de planos, estudios hidrológicos, permisos y otras gestiones para dar inicio a las obras del PMI. La obra más próxima por iniciar es la de obras recreativas en el campus Coto, en febrero del 2016.</w:t>
      </w: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Comisión “Permisos de estudio”.</w:t>
      </w:r>
      <w:r>
        <w:rPr>
          <w:rFonts w:ascii="Arial" w:hAnsi="Arial" w:cs="Arial"/>
          <w:sz w:val="22"/>
          <w:szCs w:val="22"/>
          <w:lang w:eastAsia="en-US"/>
        </w:rPr>
        <w:t xml:space="preserve"> Se reactivó la comisión que analiza el Reglamento para concesión de permisos de estudio, la cual presentó en el segundo semestre la propuesta de modificación al Reglamento de permisos de estudio y al procedimiento respectivo, aunque la revisión quedó en suspenso ante la prioridad de revisar y actualizar la normativa vigente para implementar el nuevo Estatuto Orgánico.</w:t>
      </w: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Mejora en servicios de Proveeduría.</w:t>
      </w:r>
      <w:r>
        <w:rPr>
          <w:rFonts w:ascii="Arial" w:hAnsi="Arial" w:cs="Arial"/>
          <w:sz w:val="22"/>
          <w:szCs w:val="22"/>
          <w:lang w:eastAsia="en-US"/>
        </w:rPr>
        <w:t xml:space="preserve"> Proceso de almacenamiento y distribución de bienes: implementación de Justo a tiempo (JAT), mejora en los niveles de eficiencia en la prestación del servicio por parte de la Proveeduría Institucional en relación con los bienes de stock y de consumo. Actividades en proceso para mejorar reabastecimiento: adelantarse a las posibles necesidades de los usuarios para un mejor abastecimiento mediante la clasificación de los ítems consumidos históricamente por Teoría de Pareto (80/20) del catálogo completo; identificación ítems críticos y definición de características y atributos necesarios para facilitar su adquisición; pronóstico y adquisición de la cantidad de bienes necesarios para satisfacer los requerimientos de los usuarios rápidamente; establecer modalidades para adquisición de bienes críticos. Normalización y programación de las compras: posibilidades para reabastecer más rápidamente esto ítems, por medio en stock en el almacén, contrato por demanda, JAT, otros; pronósticos (permite anticipar las necesidades futuras de los usuarios, iniciar el proceso de compra con anticipación).</w:t>
      </w: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Proyecto Sigesa</w:t>
      </w:r>
      <w:r>
        <w:rPr>
          <w:rFonts w:ascii="Arial" w:hAnsi="Arial" w:cs="Arial"/>
          <w:sz w:val="22"/>
          <w:szCs w:val="22"/>
          <w:lang w:eastAsia="en-US"/>
        </w:rPr>
        <w:t xml:space="preserve">. Se realiza ante los miembros del </w:t>
      </w:r>
      <w:r>
        <w:rPr>
          <w:rFonts w:ascii="Arial" w:hAnsi="Arial" w:cs="Arial"/>
          <w:i/>
          <w:sz w:val="22"/>
          <w:szCs w:val="22"/>
          <w:lang w:eastAsia="en-US"/>
        </w:rPr>
        <w:t>Conseco</w:t>
      </w:r>
      <w:r>
        <w:rPr>
          <w:rFonts w:ascii="Arial" w:hAnsi="Arial" w:cs="Arial"/>
          <w:sz w:val="22"/>
          <w:szCs w:val="22"/>
          <w:lang w:eastAsia="en-US"/>
        </w:rPr>
        <w:t xml:space="preserve"> la presentación en vivo del Sistema de Persona General (PGE), en su primera versión. En los módulos de recursos humanos se avanzó del 49% al 58%. Todos los módulos presentan desarrollo: Sistema de Persona General, Puestos, Plazas y Salarios, Atracción y Dotación del Talento Humano, Vacaciones, Funcionarios y Movimientos y Planilla, en </w:t>
      </w:r>
      <w:r>
        <w:rPr>
          <w:rFonts w:ascii="Arial" w:hAnsi="Arial" w:cs="Arial"/>
          <w:sz w:val="22"/>
          <w:szCs w:val="22"/>
          <w:lang w:eastAsia="en-US"/>
        </w:rPr>
        <w:lastRenderedPageBreak/>
        <w:t>su mayoría en pruebas. En los módulos de estrategia, planificación y finanzas se avanzó de un 39% a un 42%, y se espera poner en producción en el primer semestre del 2016 los módulos Formulación presupuestaria, Contabilidad presupuestaria y General, y Bancos. Los módulos de Logística de bienes y servicios muestran un avance del 13% al 25%.</w:t>
      </w: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Modificación del Artículo 37 de la Convención Colectiva</w:t>
      </w:r>
      <w:r>
        <w:rPr>
          <w:rFonts w:ascii="Arial" w:hAnsi="Arial" w:cs="Arial"/>
          <w:sz w:val="22"/>
          <w:szCs w:val="22"/>
          <w:lang w:eastAsia="en-US"/>
        </w:rPr>
        <w:t>. Presentación de la propuesta de modificación de este artículo, en sus incisos 4, 6, 10, 11, 12 y 16; con lo cual se reducen los tiempos de respuesta y subejecución presupuestaria, se favorece la promoción interna y se facilita la estabilidad laboral, además de que se permite cubrir sustituciones menores de 6 meses. Concluye esta labor y se remite al Ministerio de Trabajo para su homologación; y a partir del envío de resolución final de dicho ministerio, el Programa de Recursos Humanos tiene 6 meses para adecuar los procesos, procedimientos y trámites para su implementación.</w:t>
      </w:r>
    </w:p>
    <w:p w:rsidR="00F87902" w:rsidRDefault="00A519F9">
      <w:pPr>
        <w:numPr>
          <w:ilvl w:val="0"/>
          <w:numId w:val="24"/>
        </w:numPr>
        <w:jc w:val="both"/>
      </w:pPr>
      <w:r>
        <w:rPr>
          <w:rFonts w:ascii="Arial" w:hAnsi="Arial" w:cs="Arial"/>
          <w:b/>
          <w:i/>
          <w:sz w:val="22"/>
          <w:szCs w:val="22"/>
          <w:lang w:eastAsia="en-US"/>
        </w:rPr>
        <w:t>Reglamento de activo fijo</w:t>
      </w:r>
      <w:r>
        <w:rPr>
          <w:rFonts w:ascii="Arial" w:hAnsi="Arial" w:cs="Arial"/>
          <w:sz w:val="22"/>
          <w:szCs w:val="22"/>
          <w:lang w:eastAsia="en-US"/>
        </w:rPr>
        <w:t xml:space="preserve">. Se acuerda que la Directora del Programa de  Gestión Financiera remita a la Vicerrectoría de Administración la última propuesta de reglamento, para su reenvío a cada miembro del </w:t>
      </w:r>
      <w:r>
        <w:rPr>
          <w:rFonts w:ascii="Arial" w:hAnsi="Arial" w:cs="Arial"/>
          <w:i/>
          <w:sz w:val="22"/>
          <w:szCs w:val="22"/>
          <w:lang w:eastAsia="en-US"/>
        </w:rPr>
        <w:t>Conseco</w:t>
      </w:r>
      <w:r>
        <w:rPr>
          <w:rFonts w:ascii="Arial" w:hAnsi="Arial" w:cs="Arial"/>
          <w:sz w:val="22"/>
          <w:szCs w:val="22"/>
          <w:lang w:eastAsia="en-US"/>
        </w:rPr>
        <w:t xml:space="preserve"> con fines de valoración y análisis, de manera que reciban sus observaciones hasta en un plazo de ocho días hábiles. Se remiten a la Vicerrectoría de Administración los procedimientos necesarios para implementar el Sistema de Gestión de Activos Fijos, así como a la Asesoría Jurídica para su revisión.</w:t>
      </w:r>
    </w:p>
    <w:p w:rsidR="00F87902" w:rsidRDefault="00A519F9">
      <w:pPr>
        <w:numPr>
          <w:ilvl w:val="0"/>
          <w:numId w:val="24"/>
        </w:numPr>
        <w:jc w:val="both"/>
        <w:rPr>
          <w:rFonts w:ascii="Arial" w:hAnsi="Arial" w:cs="Arial"/>
          <w:sz w:val="22"/>
          <w:szCs w:val="22"/>
          <w:lang w:eastAsia="en-US"/>
        </w:rPr>
      </w:pPr>
      <w:r>
        <w:rPr>
          <w:rFonts w:ascii="Arial" w:hAnsi="Arial" w:cs="Arial"/>
          <w:b/>
          <w:i/>
          <w:sz w:val="22"/>
          <w:szCs w:val="22"/>
          <w:lang w:eastAsia="en-US"/>
        </w:rPr>
        <w:t>Nuevo Estatuto Orgánico</w:t>
      </w:r>
      <w:r>
        <w:rPr>
          <w:rFonts w:ascii="Arial" w:hAnsi="Arial" w:cs="Arial"/>
          <w:sz w:val="22"/>
          <w:szCs w:val="22"/>
          <w:lang w:eastAsia="en-US"/>
        </w:rPr>
        <w:t xml:space="preserve">. Presentación de la propuesta de la “Instauración de la Comisión permanente de asesoría en gestión administrativa”, como apoyo a la academia, para valoración y análisis por parte de la Comisión de Sistema de apoyo a la academia a fin de establecer su pertinencia, en cuyo caso se remitiría con posterioridad a la Comisión especial de implementación del Estatuto Orgánico. Lo anterior en el tanto que en este nuevo marco normativo institucional se suprime el </w:t>
      </w:r>
      <w:r>
        <w:rPr>
          <w:rFonts w:ascii="Arial" w:hAnsi="Arial" w:cs="Arial"/>
          <w:i/>
          <w:sz w:val="22"/>
          <w:szCs w:val="22"/>
          <w:lang w:eastAsia="en-US"/>
        </w:rPr>
        <w:t>Conseco</w:t>
      </w:r>
      <w:r>
        <w:rPr>
          <w:rFonts w:ascii="Arial" w:hAnsi="Arial" w:cs="Arial"/>
          <w:sz w:val="22"/>
          <w:szCs w:val="22"/>
          <w:lang w:eastAsia="en-US"/>
        </w:rPr>
        <w:t xml:space="preserve"> de la estructura universitaria.</w:t>
      </w:r>
    </w:p>
    <w:p w:rsidR="00F87902" w:rsidRDefault="00F87902">
      <w:pPr>
        <w:ind w:left="1428"/>
        <w:jc w:val="both"/>
        <w:rPr>
          <w:rFonts w:ascii="Arial" w:hAnsi="Arial" w:cs="Arial"/>
          <w:sz w:val="22"/>
          <w:szCs w:val="22"/>
          <w:lang w:eastAsia="en-US"/>
        </w:rPr>
      </w:pPr>
    </w:p>
    <w:p w:rsidR="00F87902" w:rsidRDefault="00F87902">
      <w:pPr>
        <w:ind w:left="1068"/>
        <w:jc w:val="both"/>
        <w:rPr>
          <w:rFonts w:ascii="Arial" w:hAnsi="Arial" w:cs="Arial"/>
          <w:sz w:val="22"/>
          <w:szCs w:val="22"/>
        </w:rPr>
      </w:pPr>
    </w:p>
    <w:p w:rsidR="00F87902" w:rsidRDefault="00A519F9">
      <w:pPr>
        <w:ind w:left="708"/>
        <w:jc w:val="both"/>
      </w:pPr>
      <w:r>
        <w:rPr>
          <w:rFonts w:ascii="Arial" w:hAnsi="Arial" w:cs="Arial"/>
          <w:b/>
          <w:i/>
          <w:sz w:val="22"/>
          <w:szCs w:val="22"/>
        </w:rPr>
        <w:t>Rectoría.</w:t>
      </w:r>
    </w:p>
    <w:p w:rsidR="00F87902" w:rsidRDefault="00F87902">
      <w:pPr>
        <w:ind w:left="708"/>
        <w:jc w:val="both"/>
        <w:rPr>
          <w:rFonts w:ascii="Arial" w:hAnsi="Arial" w:cs="Arial"/>
          <w:b/>
          <w:i/>
          <w:sz w:val="22"/>
          <w:szCs w:val="22"/>
        </w:rPr>
      </w:pPr>
    </w:p>
    <w:p w:rsidR="00F87902" w:rsidRDefault="00A519F9">
      <w:pPr>
        <w:numPr>
          <w:ilvl w:val="0"/>
          <w:numId w:val="12"/>
        </w:numPr>
        <w:jc w:val="both"/>
      </w:pPr>
      <w:r>
        <w:rPr>
          <w:rFonts w:ascii="Arial" w:hAnsi="Arial" w:cs="Arial"/>
          <w:b/>
          <w:sz w:val="22"/>
          <w:szCs w:val="22"/>
        </w:rPr>
        <w:t>3 informes ejecutivos</w:t>
      </w:r>
      <w:r>
        <w:rPr>
          <w:rFonts w:ascii="Arial" w:hAnsi="Arial" w:cs="Arial"/>
          <w:sz w:val="22"/>
          <w:szCs w:val="22"/>
        </w:rPr>
        <w:t xml:space="preserve"> relacionados con el avance y el grado de cumplimiento del proyecto </w:t>
      </w:r>
      <w:r>
        <w:rPr>
          <w:rFonts w:ascii="Arial" w:hAnsi="Arial" w:cs="Arial"/>
          <w:i/>
          <w:sz w:val="22"/>
          <w:szCs w:val="22"/>
        </w:rPr>
        <w:t>Sigesa</w:t>
      </w:r>
      <w:r>
        <w:rPr>
          <w:rFonts w:ascii="Arial" w:hAnsi="Arial" w:cs="Arial"/>
          <w:sz w:val="22"/>
          <w:szCs w:val="22"/>
        </w:rPr>
        <w:t xml:space="preserve"> que se presentó ante el Consejo Universitario (100%).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3 sesiones de trabajo</w:t>
      </w:r>
      <w:r>
        <w:rPr>
          <w:rFonts w:ascii="Arial" w:hAnsi="Arial" w:cs="Arial"/>
          <w:sz w:val="22"/>
          <w:szCs w:val="22"/>
        </w:rPr>
        <w:t xml:space="preserve"> con el fin de analizar y discutir sobre la propuesta de los lineamientos UNA-Fundauna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 xml:space="preserve">Presentación del informe de labores 2010-2015 (100%).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24 reuniones con organismos nacionales e internacionales</w:t>
      </w:r>
      <w:r>
        <w:rPr>
          <w:rFonts w:ascii="Arial" w:hAnsi="Arial" w:cs="Arial"/>
          <w:sz w:val="22"/>
          <w:szCs w:val="22"/>
        </w:rPr>
        <w:t xml:space="preserve">, en el marco de promoción de vínculo interno y externo en la generación de oportunidades de todos los sectores de la comunidad universitaria: reuniones con embajadores (Perú, Turquía, Israel, Corea, Japón; así como con representantes internacionales (OIEA, ISEP, USAC, </w:t>
      </w:r>
      <w:r>
        <w:rPr>
          <w:rFonts w:ascii="Arial" w:hAnsi="Arial" w:cs="Arial"/>
          <w:i/>
          <w:sz w:val="22"/>
          <w:szCs w:val="22"/>
        </w:rPr>
        <w:t>Saltra</w:t>
      </w:r>
      <w:r>
        <w:rPr>
          <w:rFonts w:ascii="Arial" w:hAnsi="Arial" w:cs="Arial"/>
          <w:sz w:val="22"/>
          <w:szCs w:val="22"/>
        </w:rPr>
        <w:t xml:space="preserve"> y Universidad de Ankara),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3 reuniones de coordinación </w:t>
      </w:r>
      <w:r>
        <w:rPr>
          <w:rFonts w:ascii="Arial" w:hAnsi="Arial" w:cs="Arial"/>
          <w:sz w:val="22"/>
          <w:szCs w:val="22"/>
        </w:rPr>
        <w:t>que permitan promover y fortalecer la movilidad estudiantil y la formación de académicos en maestría y doctorados en el exterior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8 reuniones de coordinación</w:t>
      </w:r>
      <w:r>
        <w:rPr>
          <w:rFonts w:ascii="Arial" w:hAnsi="Arial" w:cs="Arial"/>
          <w:sz w:val="22"/>
          <w:szCs w:val="22"/>
        </w:rPr>
        <w:t xml:space="preserve"> con el fin de establecer acciones que coadyuven al cumplimiento de los objetivos que deben promover los PPAA y al seguimiento a la ejecución presupuestaria en coordinación con las vicerrectorías (100%).</w:t>
      </w:r>
    </w:p>
    <w:p w:rsidR="00F87902" w:rsidRDefault="00A519F9">
      <w:pPr>
        <w:numPr>
          <w:ilvl w:val="0"/>
          <w:numId w:val="12"/>
        </w:numPr>
        <w:tabs>
          <w:tab w:val="left" w:pos="3686"/>
        </w:tabs>
        <w:jc w:val="both"/>
      </w:pPr>
      <w:r>
        <w:rPr>
          <w:rFonts w:ascii="Arial" w:hAnsi="Arial" w:cs="Arial"/>
          <w:b/>
          <w:sz w:val="22"/>
          <w:szCs w:val="22"/>
        </w:rPr>
        <w:lastRenderedPageBreak/>
        <w:t>9 actividades de seguimiento</w:t>
      </w:r>
      <w:r>
        <w:rPr>
          <w:rFonts w:ascii="Arial" w:hAnsi="Arial" w:cs="Arial"/>
          <w:sz w:val="22"/>
          <w:szCs w:val="22"/>
        </w:rPr>
        <w:t xml:space="preserve"> de los procedimientos que se establezcan para una adecuada gestión de los PPAA: reuniones en coordinación con el SIA y la </w:t>
      </w:r>
      <w:r>
        <w:rPr>
          <w:rFonts w:ascii="Arial" w:hAnsi="Arial" w:cs="Arial"/>
          <w:i/>
          <w:sz w:val="22"/>
          <w:szCs w:val="22"/>
        </w:rPr>
        <w:t>Fundauna</w:t>
      </w:r>
      <w:r>
        <w:rPr>
          <w:rFonts w:ascii="Arial" w:hAnsi="Arial" w:cs="Arial"/>
          <w:sz w:val="22"/>
          <w:szCs w:val="22"/>
        </w:rPr>
        <w:t>, para el establecimiento de lineamientos que permitan agilizar los procesos de gestión respectivos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 xml:space="preserve">18 sesiones de trabajo </w:t>
      </w:r>
      <w:r>
        <w:rPr>
          <w:rFonts w:ascii="Arial" w:hAnsi="Arial" w:cs="Arial"/>
          <w:sz w:val="22"/>
          <w:szCs w:val="22"/>
        </w:rPr>
        <w:t xml:space="preserve">que permitan el cumplimiento de los objetivos y metas del proyecto Banco Mundial, la salvaguarda ambiental e indígena (100%).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7 reuniones de coordinación</w:t>
      </w:r>
      <w:r>
        <w:rPr>
          <w:rFonts w:ascii="Arial" w:hAnsi="Arial" w:cs="Arial"/>
          <w:sz w:val="22"/>
          <w:szCs w:val="22"/>
        </w:rPr>
        <w:t xml:space="preserve"> con la Vicerrectoría de Administración, </w:t>
      </w:r>
      <w:r>
        <w:rPr>
          <w:rFonts w:ascii="Arial" w:hAnsi="Arial" w:cs="Arial"/>
          <w:i/>
          <w:sz w:val="22"/>
          <w:szCs w:val="22"/>
        </w:rPr>
        <w:t>Prodemi</w:t>
      </w:r>
      <w:r>
        <w:rPr>
          <w:rFonts w:ascii="Arial" w:hAnsi="Arial" w:cs="Arial"/>
          <w:sz w:val="22"/>
          <w:szCs w:val="22"/>
        </w:rPr>
        <w:t xml:space="preserve">, Programa Gestión Financiera; para atender los aspectos relacionados con el Plan de obras y equipamiento, Plan de inversión y modificaciones presupuestarias ante la Contraloría General de la República (100%).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15 reuniones</w:t>
      </w:r>
      <w:r>
        <w:rPr>
          <w:rFonts w:ascii="Arial" w:hAnsi="Arial" w:cs="Arial"/>
          <w:sz w:val="22"/>
          <w:szCs w:val="22"/>
        </w:rPr>
        <w:t xml:space="preserve"> con la Vicerrectoría de Administración y el Programa de Gestión Financiera, con la finalidad de establecer acciones que permitan el aseguramiento financiero de la institución, así como el establecimiento de los escenarios para la negociación del FEES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14 sesiones de trabajo</w:t>
      </w:r>
      <w:r>
        <w:rPr>
          <w:rFonts w:ascii="Arial" w:hAnsi="Arial" w:cs="Arial"/>
          <w:sz w:val="22"/>
          <w:szCs w:val="22"/>
        </w:rPr>
        <w:t xml:space="preserve"> con la OTTVE para la definición del procedimiento marco que defina la propiedad intelectual de la Universidad Nacional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12 reuniones de trabajo</w:t>
      </w:r>
      <w:r>
        <w:rPr>
          <w:rFonts w:ascii="Arial" w:hAnsi="Arial" w:cs="Arial"/>
          <w:sz w:val="22"/>
          <w:szCs w:val="22"/>
        </w:rPr>
        <w:t xml:space="preserve"> con la EUNA, con el fin de establecer el repositorio sobre la producción que realiza las revistas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9 reuniones y sesiones de trabajo</w:t>
      </w:r>
      <w:r>
        <w:rPr>
          <w:rFonts w:ascii="Arial" w:hAnsi="Arial" w:cs="Arial"/>
          <w:sz w:val="22"/>
          <w:szCs w:val="22"/>
        </w:rPr>
        <w:t xml:space="preserve"> con el fin de abordar la temática del cumplimiento de la ley de simplificación de trámites, y la gestión para elaborar una plataforma tecnológica que coadyuve agilizar los procesos y la revisión de la normativa institucional y gestión digital de documentación; en el marco de la desconcentración y la simplificación de los procesos universitarios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13 reuniones de coordinación</w:t>
      </w:r>
      <w:r>
        <w:rPr>
          <w:rFonts w:ascii="Arial" w:hAnsi="Arial" w:cs="Arial"/>
          <w:sz w:val="22"/>
          <w:szCs w:val="22"/>
        </w:rPr>
        <w:t xml:space="preserve"> con </w:t>
      </w:r>
      <w:r>
        <w:rPr>
          <w:rFonts w:ascii="Arial" w:hAnsi="Arial" w:cs="Arial"/>
          <w:i/>
          <w:sz w:val="22"/>
          <w:szCs w:val="22"/>
        </w:rPr>
        <w:t>Apeuna</w:t>
      </w:r>
      <w:r>
        <w:rPr>
          <w:rFonts w:ascii="Arial" w:hAnsi="Arial" w:cs="Arial"/>
          <w:sz w:val="22"/>
          <w:szCs w:val="22"/>
        </w:rPr>
        <w:t xml:space="preserve"> para la elaboración del Índice de Gestión Institucional que se presenta ante la Contraloría General de la República; a su vez se ha incorporado en el plan estratégico de la Rectoría las acciones de Apeuna como instancia que se adscribirá a esta oficina a partir de la entrada en vigencia del nuevo estatuto orgánico; en el contexto de la integración de los sistemas de información y la gestión de indicadores institucionales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4 sesiones de trabajo</w:t>
      </w:r>
      <w:r>
        <w:rPr>
          <w:rFonts w:ascii="Arial" w:hAnsi="Arial" w:cs="Arial"/>
          <w:sz w:val="22"/>
          <w:szCs w:val="22"/>
        </w:rPr>
        <w:t xml:space="preserve"> que permitan la actualización de la normativa institucional y la implementación de nuevos sistemas de información y comunicación: reuniones de trabajo para la actualización de los reglamentos de activos fijos, autonomía universitaria, regionalización y propiedad intelectual, contratación de académicos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13 reuniones de seguimiento</w:t>
      </w:r>
      <w:r>
        <w:rPr>
          <w:rFonts w:ascii="Arial" w:hAnsi="Arial" w:cs="Arial"/>
          <w:sz w:val="22"/>
          <w:szCs w:val="22"/>
        </w:rPr>
        <w:t xml:space="preserve"> con la temática de plantas de tratamiento y aspectos correspondientes a la regencia química y campus sostenible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 sesiones de trabajo</w:t>
      </w:r>
      <w:r>
        <w:rPr>
          <w:rFonts w:ascii="Arial" w:hAnsi="Arial" w:cs="Arial"/>
          <w:sz w:val="22"/>
          <w:szCs w:val="22"/>
        </w:rPr>
        <w:t xml:space="preserve"> que permitan articular el quehacer institucional en el ámbito ambiental en ahorro de consumo de agua, luz, teléfono, desechos, reciclaje, etc.: con UNA-Campus Sostenible y </w:t>
      </w:r>
      <w:r>
        <w:rPr>
          <w:rFonts w:ascii="Arial" w:hAnsi="Arial" w:cs="Arial"/>
          <w:i/>
          <w:sz w:val="22"/>
          <w:szCs w:val="22"/>
        </w:rPr>
        <w:t>Prodemi</w:t>
      </w:r>
      <w:r>
        <w:rPr>
          <w:rFonts w:ascii="Arial" w:hAnsi="Arial" w:cs="Arial"/>
          <w:sz w:val="22"/>
          <w:szCs w:val="22"/>
        </w:rPr>
        <w:t>, sobre el reforzamiento de lineamientos que permita reducir la factura de los servicios de consumo de agua, luz y teléfono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lastRenderedPageBreak/>
        <w:t>1 congreso de investigación</w:t>
      </w:r>
      <w:r>
        <w:rPr>
          <w:rFonts w:ascii="Arial" w:hAnsi="Arial" w:cs="Arial"/>
          <w:sz w:val="22"/>
          <w:szCs w:val="22"/>
        </w:rPr>
        <w:t xml:space="preserve"> conducente a la renovación de las políticas institucionales en ese campo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declaración</w:t>
      </w:r>
      <w:r>
        <w:rPr>
          <w:rFonts w:ascii="Arial" w:hAnsi="Arial" w:cs="Arial"/>
          <w:sz w:val="22"/>
          <w:szCs w:val="22"/>
        </w:rPr>
        <w:t xml:space="preserve"> del Consejo Universitario del año 2016 como “La UNA por la Madre Tierra”, en el marco del año de las universidades estatales centroamericanas por la Madre Tierra (100%). </w:t>
      </w:r>
    </w:p>
    <w:p w:rsidR="00F87902" w:rsidRDefault="00F87902">
      <w:pPr>
        <w:pStyle w:val="Prrafodelista"/>
        <w:rPr>
          <w:rFonts w:ascii="Arial" w:hAnsi="Arial" w:cs="Arial"/>
          <w:sz w:val="22"/>
          <w:szCs w:val="22"/>
        </w:rPr>
      </w:pPr>
    </w:p>
    <w:p w:rsidR="00F87902" w:rsidRDefault="00A519F9">
      <w:pPr>
        <w:ind w:left="1068"/>
        <w:jc w:val="both"/>
        <w:rPr>
          <w:rFonts w:ascii="Arial" w:hAnsi="Arial" w:cs="Arial"/>
          <w:i/>
          <w:sz w:val="22"/>
          <w:szCs w:val="22"/>
        </w:rPr>
      </w:pPr>
      <w:r>
        <w:rPr>
          <w:rFonts w:ascii="Arial" w:hAnsi="Arial" w:cs="Arial"/>
          <w:i/>
          <w:sz w:val="22"/>
          <w:szCs w:val="22"/>
        </w:rPr>
        <w:t xml:space="preserve">La baja ejecución en esta meta (72,8%) se debe, en gran medida, a la existencia de recursos provenientes de superávit anteriores que se administran desde la dirección superior, los cuales generaron compromisos para su ejecución durante el 2016. De sumarse tales compromisos, la ejecución de la meta rondaría el 90%.     </w:t>
      </w:r>
    </w:p>
    <w:p w:rsidR="00F87902" w:rsidRDefault="00F87902">
      <w:pPr>
        <w:pStyle w:val="Prrafodelista"/>
        <w:ind w:left="1428"/>
        <w:rPr>
          <w:rFonts w:ascii="Arial" w:hAnsi="Arial" w:cs="Arial"/>
          <w:i/>
          <w:sz w:val="22"/>
          <w:szCs w:val="22"/>
        </w:rPr>
      </w:pPr>
    </w:p>
    <w:p w:rsidR="00F87902" w:rsidRDefault="00F87902">
      <w:pPr>
        <w:ind w:left="1394" w:hanging="709"/>
        <w:jc w:val="both"/>
        <w:rPr>
          <w:rFonts w:ascii="Arial" w:hAnsi="Arial" w:cs="Arial"/>
          <w:i/>
          <w:sz w:val="22"/>
          <w:szCs w:val="22"/>
        </w:rPr>
      </w:pPr>
    </w:p>
    <w:p w:rsidR="00F87902" w:rsidRDefault="00F87902">
      <w:pPr>
        <w:ind w:left="1394" w:hanging="709"/>
        <w:jc w:val="both"/>
        <w:rPr>
          <w:rFonts w:ascii="Arial" w:hAnsi="Arial" w:cs="Arial"/>
          <w:i/>
          <w:sz w:val="22"/>
          <w:szCs w:val="22"/>
        </w:rPr>
      </w:pPr>
    </w:p>
    <w:p w:rsidR="00F87902" w:rsidRDefault="00A519F9">
      <w:pPr>
        <w:spacing w:line="360" w:lineRule="auto"/>
        <w:ind w:left="708"/>
        <w:jc w:val="both"/>
        <w:rPr>
          <w:rFonts w:ascii="Arial" w:hAnsi="Arial" w:cs="Arial"/>
          <w:b/>
        </w:rPr>
      </w:pPr>
      <w:r>
        <w:rPr>
          <w:rFonts w:ascii="Arial" w:hAnsi="Arial" w:cs="Arial"/>
          <w:b/>
        </w:rPr>
        <w:t xml:space="preserve">Meta 1.3 Realizar 771 actividades que proyecten la Universidad en los ámbitos nacional e internacional, de manera que coadyuven a la implementación de la estrategia de internacionalización.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Las actividades desarrolladas en este ámbito (750) generan un cumplimiento  del </w:t>
      </w:r>
      <w:r>
        <w:rPr>
          <w:rFonts w:ascii="Arial" w:hAnsi="Arial" w:cs="Arial"/>
          <w:b/>
          <w:sz w:val="22"/>
          <w:szCs w:val="22"/>
        </w:rPr>
        <w:t>97,3%.</w:t>
      </w:r>
      <w:r>
        <w:rPr>
          <w:rFonts w:ascii="Arial" w:hAnsi="Arial" w:cs="Arial"/>
          <w:sz w:val="22"/>
          <w:szCs w:val="22"/>
        </w:rPr>
        <w:t xml:space="preserve">  Seguidamente se ilustra su desarrollo:</w:t>
      </w:r>
    </w:p>
    <w:p w:rsidR="00F87902" w:rsidRDefault="00F87902">
      <w:pPr>
        <w:ind w:left="708"/>
        <w:jc w:val="both"/>
        <w:rPr>
          <w:rFonts w:ascii="Arial" w:hAnsi="Arial" w:cs="Arial"/>
          <w:b/>
          <w:sz w:val="22"/>
          <w:szCs w:val="22"/>
        </w:rPr>
      </w:pPr>
    </w:p>
    <w:p w:rsidR="00F87902" w:rsidRDefault="00A519F9">
      <w:pPr>
        <w:ind w:left="708"/>
        <w:jc w:val="both"/>
      </w:pPr>
      <w:r>
        <w:rPr>
          <w:rFonts w:ascii="Arial" w:hAnsi="Arial" w:cs="Arial"/>
          <w:b/>
          <w:i/>
          <w:sz w:val="22"/>
          <w:szCs w:val="22"/>
        </w:rPr>
        <w:t>Oficina de Cooperación Técnica Internacional</w:t>
      </w:r>
    </w:p>
    <w:p w:rsidR="00F87902" w:rsidRDefault="00F87902">
      <w:pPr>
        <w:ind w:left="708"/>
        <w:jc w:val="both"/>
        <w:rPr>
          <w:rFonts w:ascii="Arial" w:hAnsi="Arial" w:cs="Arial"/>
          <w:b/>
          <w:i/>
          <w:sz w:val="22"/>
          <w:szCs w:val="22"/>
        </w:rPr>
      </w:pPr>
    </w:p>
    <w:p w:rsidR="00F87902" w:rsidRDefault="00A519F9">
      <w:pPr>
        <w:numPr>
          <w:ilvl w:val="0"/>
          <w:numId w:val="12"/>
        </w:numPr>
        <w:jc w:val="both"/>
      </w:pPr>
      <w:r>
        <w:rPr>
          <w:rFonts w:ascii="Arial" w:hAnsi="Arial" w:cs="Arial"/>
          <w:b/>
          <w:sz w:val="22"/>
          <w:szCs w:val="22"/>
        </w:rPr>
        <w:t>1 manual</w:t>
      </w:r>
      <w:r>
        <w:rPr>
          <w:rFonts w:ascii="Arial" w:hAnsi="Arial" w:cs="Arial"/>
          <w:sz w:val="22"/>
          <w:szCs w:val="22"/>
        </w:rPr>
        <w:t xml:space="preserve"> sobre trámites migratorios para colocarlo a disposición en la página </w:t>
      </w:r>
      <w:r>
        <w:rPr>
          <w:rFonts w:ascii="Arial" w:hAnsi="Arial" w:cs="Arial"/>
          <w:i/>
          <w:sz w:val="22"/>
          <w:szCs w:val="22"/>
        </w:rPr>
        <w:t xml:space="preserve">web </w:t>
      </w:r>
      <w:r>
        <w:rPr>
          <w:rFonts w:ascii="Arial" w:hAnsi="Arial" w:cs="Arial"/>
          <w:sz w:val="22"/>
          <w:szCs w:val="22"/>
        </w:rPr>
        <w:t>(100%).</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3 investigaciones conjuntas</w:t>
      </w:r>
      <w:r>
        <w:rPr>
          <w:rFonts w:ascii="Arial" w:hAnsi="Arial" w:cs="Arial"/>
          <w:sz w:val="22"/>
          <w:szCs w:val="22"/>
        </w:rPr>
        <w:t xml:space="preserve"> entre la UNA y universidades alemanas: se presentaron ante el DAAD las respectivas propuestas de solicitudes de académicos investigadores para realizar pasantías cortas de investigación en Alemania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50% de logro</w:t>
      </w:r>
      <w:r>
        <w:rPr>
          <w:rFonts w:ascii="Arial" w:hAnsi="Arial" w:cs="Arial"/>
          <w:sz w:val="22"/>
          <w:szCs w:val="22"/>
        </w:rPr>
        <w:t xml:space="preserve"> en el desarrollo de la estrategia de internacionalización de la UNA: reuniones informativas y un taller con la Facultad de Tierra y Mar, para presentar la propuesta del plan piloto de internacionalización, así como una charla con autoridades para presentarles dicho plan.</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documento de referencia</w:t>
      </w:r>
      <w:r>
        <w:rPr>
          <w:rFonts w:ascii="Arial" w:hAnsi="Arial" w:cs="Arial"/>
          <w:sz w:val="22"/>
          <w:szCs w:val="22"/>
        </w:rPr>
        <w:t xml:space="preserve"> sobre el proceso de movilidad en la UNA: en desarrollo el proceso de actualización del diagnóstico de movilidad que integra la información 2014, 2015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 xml:space="preserve">1 guía </w:t>
      </w:r>
      <w:r>
        <w:rPr>
          <w:rFonts w:ascii="Arial" w:hAnsi="Arial" w:cs="Arial"/>
          <w:sz w:val="22"/>
          <w:szCs w:val="22"/>
        </w:rPr>
        <w:t xml:space="preserve">con criterios para determinar la pertinencia de la suscripción de instrumentos de cooperación y su evaluación durante su ejecución (100%).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informe sintético</w:t>
      </w:r>
      <w:r>
        <w:rPr>
          <w:rFonts w:ascii="Arial" w:hAnsi="Arial" w:cs="Arial"/>
          <w:sz w:val="22"/>
          <w:szCs w:val="22"/>
        </w:rPr>
        <w:t xml:space="preserve"> sobre la evaluación anual de los instrumentos de cooperación, donaciones y préstamos vigentes, así como la evaluación de los que terminaron de ejecutarse: informe correspondiente al segundo semestre del 2014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2 informes semestrales</w:t>
      </w:r>
      <w:r>
        <w:rPr>
          <w:rFonts w:ascii="Arial" w:hAnsi="Arial" w:cs="Arial"/>
          <w:sz w:val="22"/>
          <w:szCs w:val="22"/>
        </w:rPr>
        <w:t xml:space="preserve"> sobre todos los acuerdos de cooperación suscritos por la UNA durante el periodo, así como aquellos a los cuales se les ha vencido el plazo (100%).</w:t>
      </w:r>
    </w:p>
    <w:p w:rsidR="00F87902" w:rsidRDefault="00F87902">
      <w:pPr>
        <w:jc w:val="both"/>
        <w:rPr>
          <w:rFonts w:ascii="Arial" w:hAnsi="Arial" w:cs="Arial"/>
          <w:b/>
          <w:i/>
          <w:color w:val="E36C0A" w:themeColor="accent6" w:themeShade="BF"/>
          <w:sz w:val="22"/>
          <w:szCs w:val="22"/>
        </w:rPr>
      </w:pPr>
    </w:p>
    <w:p w:rsidR="00F87902" w:rsidRDefault="00A519F9">
      <w:pPr>
        <w:numPr>
          <w:ilvl w:val="0"/>
          <w:numId w:val="12"/>
        </w:numPr>
        <w:jc w:val="both"/>
      </w:pPr>
      <w:r>
        <w:rPr>
          <w:rFonts w:ascii="Arial" w:hAnsi="Arial" w:cs="Arial"/>
          <w:b/>
          <w:sz w:val="22"/>
          <w:szCs w:val="22"/>
        </w:rPr>
        <w:lastRenderedPageBreak/>
        <w:t>1 documento</w:t>
      </w:r>
      <w:r>
        <w:rPr>
          <w:rFonts w:ascii="Arial" w:hAnsi="Arial" w:cs="Arial"/>
          <w:sz w:val="22"/>
          <w:szCs w:val="22"/>
        </w:rPr>
        <w:t xml:space="preserve"> integral que sistematiza los diferentes instrumentos de cooperación internacional vigentes, las redes temáticas en las que se participa y las opciones de movilidad disponibles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guía informativa</w:t>
      </w:r>
      <w:r>
        <w:rPr>
          <w:rFonts w:ascii="Arial" w:hAnsi="Arial" w:cs="Arial"/>
          <w:sz w:val="22"/>
          <w:szCs w:val="22"/>
        </w:rPr>
        <w:t xml:space="preserve"> para el estudiante internacional con datos sobre Costa Rica, específicamente de Heredia y de la UNA, así como de trámites pendientes para que puedan continuar con sus estudios, en revisión conjunta con la Oficina de Relaciones Públicas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guía de información</w:t>
      </w:r>
      <w:r>
        <w:rPr>
          <w:rFonts w:ascii="Arial" w:hAnsi="Arial" w:cs="Arial"/>
          <w:sz w:val="22"/>
          <w:szCs w:val="22"/>
        </w:rPr>
        <w:t xml:space="preserve"> para el funcionario visitante internacional, elaborada en conjunto con la destinada al estudiante internacional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50% de logro</w:t>
      </w:r>
      <w:r>
        <w:rPr>
          <w:rFonts w:ascii="Arial" w:hAnsi="Arial" w:cs="Arial"/>
          <w:sz w:val="22"/>
          <w:szCs w:val="22"/>
        </w:rPr>
        <w:t xml:space="preserve"> en lo concerniente a un nuevo reglamento para la tramitación y aprobación de instrumentos de cooperación externa, donaciones y préstamos para la UNA, así de los formatos de trámite complementarios: propuesta entregada de nuevo reglamento, aunque el Consejo Universitario acordó que se tramitaría una vez concluido el proceso de reestructuración de la OCTI y la OTTVE.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informe</w:t>
      </w:r>
      <w:r>
        <w:rPr>
          <w:rFonts w:ascii="Arial" w:hAnsi="Arial" w:cs="Arial"/>
          <w:sz w:val="22"/>
          <w:szCs w:val="22"/>
        </w:rPr>
        <w:t xml:space="preserve"> de actividades conjuntas con la Oficina de Transferencia Tecnológica y Vinculación Externa (100%). </w:t>
      </w:r>
    </w:p>
    <w:p w:rsidR="00F87902" w:rsidRDefault="00F87902">
      <w:pPr>
        <w:pStyle w:val="Prrafodelista"/>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ind w:left="708"/>
        <w:jc w:val="both"/>
      </w:pPr>
      <w:r>
        <w:rPr>
          <w:rFonts w:ascii="Arial" w:hAnsi="Arial" w:cs="Arial"/>
          <w:b/>
          <w:i/>
          <w:sz w:val="22"/>
          <w:szCs w:val="22"/>
        </w:rPr>
        <w:t>Oficina de Comunicación.</w:t>
      </w:r>
    </w:p>
    <w:p w:rsidR="00F87902" w:rsidRDefault="00F87902">
      <w:pPr>
        <w:ind w:left="708"/>
        <w:jc w:val="both"/>
        <w:rPr>
          <w:rFonts w:ascii="Arial" w:hAnsi="Arial" w:cs="Arial"/>
          <w:b/>
          <w:i/>
          <w:sz w:val="22"/>
          <w:szCs w:val="22"/>
        </w:rPr>
      </w:pPr>
    </w:p>
    <w:p w:rsidR="00F87902" w:rsidRDefault="00A519F9">
      <w:pPr>
        <w:numPr>
          <w:ilvl w:val="0"/>
          <w:numId w:val="12"/>
        </w:numPr>
        <w:jc w:val="both"/>
      </w:pPr>
      <w:r>
        <w:rPr>
          <w:rFonts w:ascii="Arial" w:hAnsi="Arial" w:cs="Arial"/>
          <w:b/>
          <w:sz w:val="22"/>
          <w:szCs w:val="22"/>
        </w:rPr>
        <w:t xml:space="preserve">15 productos y servicios de comunicación </w:t>
      </w:r>
      <w:r>
        <w:rPr>
          <w:rFonts w:ascii="Arial" w:hAnsi="Arial" w:cs="Arial"/>
          <w:sz w:val="22"/>
          <w:szCs w:val="22"/>
        </w:rPr>
        <w:t xml:space="preserve">interna y externa desarrollados (100%).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11 ediciones</w:t>
      </w:r>
      <w:r>
        <w:rPr>
          <w:rFonts w:ascii="Arial" w:hAnsi="Arial" w:cs="Arial"/>
          <w:sz w:val="22"/>
          <w:szCs w:val="22"/>
        </w:rPr>
        <w:t xml:space="preserve"> del periódico Campus, impresas y digitales (100%).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4 suplementos especiales</w:t>
      </w:r>
      <w:r>
        <w:rPr>
          <w:rFonts w:ascii="Arial" w:hAnsi="Arial" w:cs="Arial"/>
          <w:sz w:val="22"/>
          <w:szCs w:val="22"/>
        </w:rPr>
        <w:t xml:space="preserve"> de Campus, impresos y digitales: suplemento Jornadas Académicas, Elección Rectoría 2015-2020, 40 aniversario</w:t>
      </w:r>
      <w:r>
        <w:rPr>
          <w:rFonts w:ascii="Arial" w:hAnsi="Arial" w:cs="Arial"/>
          <w:i/>
          <w:sz w:val="22"/>
          <w:szCs w:val="22"/>
        </w:rPr>
        <w:t>Idespo</w:t>
      </w:r>
      <w:r>
        <w:rPr>
          <w:rFonts w:ascii="Arial" w:hAnsi="Arial" w:cs="Arial"/>
          <w:sz w:val="22"/>
          <w:szCs w:val="22"/>
        </w:rPr>
        <w:t>, suplemento digital Registro de elegibles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47 ediciones</w:t>
      </w:r>
      <w:r>
        <w:rPr>
          <w:rFonts w:ascii="Arial" w:hAnsi="Arial" w:cs="Arial"/>
          <w:sz w:val="22"/>
          <w:szCs w:val="22"/>
        </w:rPr>
        <w:t xml:space="preserve"> producidas del programa radiofónico Visión crítica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35 ediciones</w:t>
      </w:r>
      <w:r>
        <w:rPr>
          <w:rFonts w:ascii="Arial" w:hAnsi="Arial" w:cs="Arial"/>
          <w:sz w:val="22"/>
          <w:szCs w:val="22"/>
        </w:rPr>
        <w:t xml:space="preserve"> del programa televisivo UNA Mirada (100%).</w:t>
      </w:r>
    </w:p>
    <w:p w:rsidR="00F87902" w:rsidRDefault="00F87902">
      <w:pPr>
        <w:pStyle w:val="Prrafodelista"/>
        <w:rPr>
          <w:rFonts w:ascii="Arial" w:hAnsi="Arial" w:cs="Arial"/>
          <w:sz w:val="22"/>
          <w:szCs w:val="22"/>
        </w:rPr>
      </w:pP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12 ediciones</w:t>
      </w:r>
      <w:r>
        <w:rPr>
          <w:rFonts w:ascii="Arial" w:hAnsi="Arial" w:cs="Arial"/>
          <w:sz w:val="22"/>
          <w:szCs w:val="22"/>
        </w:rPr>
        <w:t xml:space="preserve"> del telenoticiario </w:t>
      </w:r>
      <w:r>
        <w:rPr>
          <w:rFonts w:ascii="Arial" w:hAnsi="Arial" w:cs="Arial"/>
          <w:i/>
          <w:sz w:val="22"/>
          <w:szCs w:val="22"/>
        </w:rPr>
        <w:t>web</w:t>
      </w:r>
      <w:r>
        <w:rPr>
          <w:rFonts w:ascii="Arial" w:hAnsi="Arial" w:cs="Arial"/>
          <w:sz w:val="22"/>
          <w:szCs w:val="22"/>
        </w:rPr>
        <w:t xml:space="preserve"> Campus TV, en UNA Multimedia y </w:t>
      </w:r>
      <w:r>
        <w:rPr>
          <w:rFonts w:ascii="Arial" w:hAnsi="Arial" w:cs="Arial"/>
          <w:i/>
          <w:sz w:val="22"/>
          <w:szCs w:val="22"/>
        </w:rPr>
        <w:t>YouTube</w:t>
      </w:r>
      <w:r>
        <w:rPr>
          <w:rFonts w:ascii="Arial" w:hAnsi="Arial" w:cs="Arial"/>
          <w:sz w:val="22"/>
          <w:szCs w:val="22"/>
        </w:rPr>
        <w:t xml:space="preserve">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34 piezas de divulgación</w:t>
      </w:r>
      <w:r>
        <w:rPr>
          <w:rFonts w:ascii="Arial" w:hAnsi="Arial" w:cs="Arial"/>
          <w:sz w:val="22"/>
          <w:szCs w:val="22"/>
        </w:rPr>
        <w:t xml:space="preserve"> del quehacer de la UNA, mediante videos y cuñas, aprovechando las TIC: 22 videos y 12 cuñas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200 actualizaciones</w:t>
      </w:r>
      <w:r>
        <w:rPr>
          <w:rFonts w:ascii="Arial" w:hAnsi="Arial" w:cs="Arial"/>
          <w:sz w:val="22"/>
          <w:szCs w:val="22"/>
        </w:rPr>
        <w:t xml:space="preserve"> de la red social </w:t>
      </w:r>
      <w:r>
        <w:rPr>
          <w:rFonts w:ascii="Arial" w:hAnsi="Arial" w:cs="Arial"/>
          <w:i/>
          <w:sz w:val="22"/>
          <w:szCs w:val="22"/>
        </w:rPr>
        <w:t>Facebook</w:t>
      </w:r>
      <w:r>
        <w:rPr>
          <w:rFonts w:ascii="Arial" w:hAnsi="Arial" w:cs="Arial"/>
          <w:sz w:val="22"/>
          <w:szCs w:val="22"/>
        </w:rPr>
        <w:t xml:space="preserve">/Comunicación UNA y </w:t>
      </w:r>
      <w:r>
        <w:rPr>
          <w:rFonts w:ascii="Arial" w:hAnsi="Arial" w:cs="Arial"/>
          <w:i/>
          <w:sz w:val="22"/>
          <w:szCs w:val="22"/>
        </w:rPr>
        <w:t>Facebook</w:t>
      </w:r>
      <w:r>
        <w:rPr>
          <w:rFonts w:ascii="Arial" w:hAnsi="Arial" w:cs="Arial"/>
          <w:sz w:val="22"/>
          <w:szCs w:val="22"/>
        </w:rPr>
        <w:t>/UNA Multimedia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31 páginas de pauta publicitaria</w:t>
      </w:r>
      <w:r>
        <w:rPr>
          <w:rFonts w:ascii="Arial" w:hAnsi="Arial" w:cs="Arial"/>
          <w:sz w:val="22"/>
          <w:szCs w:val="22"/>
        </w:rPr>
        <w:t xml:space="preserve"> publicadas en medios de comunicación (78%).</w:t>
      </w:r>
    </w:p>
    <w:p w:rsidR="00F87902" w:rsidRDefault="00F87902">
      <w:pPr>
        <w:pStyle w:val="Prrafodelista"/>
        <w:rPr>
          <w:rFonts w:ascii="Arial" w:hAnsi="Arial" w:cs="Arial"/>
          <w:b/>
          <w:i/>
          <w:color w:val="E36C0A" w:themeColor="accent6" w:themeShade="BF"/>
          <w:sz w:val="22"/>
          <w:szCs w:val="22"/>
        </w:rPr>
      </w:pPr>
    </w:p>
    <w:p w:rsidR="00F87902" w:rsidRDefault="00A519F9">
      <w:pPr>
        <w:numPr>
          <w:ilvl w:val="0"/>
          <w:numId w:val="12"/>
        </w:numPr>
        <w:jc w:val="both"/>
      </w:pPr>
      <w:r>
        <w:rPr>
          <w:rFonts w:ascii="Arial" w:hAnsi="Arial" w:cs="Arial"/>
          <w:b/>
          <w:sz w:val="22"/>
          <w:szCs w:val="22"/>
        </w:rPr>
        <w:t>195 boletines</w:t>
      </w:r>
      <w:r>
        <w:rPr>
          <w:rFonts w:ascii="Arial" w:hAnsi="Arial" w:cs="Arial"/>
          <w:sz w:val="22"/>
          <w:szCs w:val="22"/>
        </w:rPr>
        <w:t xml:space="preserve"> de prensa producidos sobre el quehacer de la UNA (98%).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lastRenderedPageBreak/>
        <w:t>12 conferencias de prensa</w:t>
      </w:r>
      <w:r>
        <w:rPr>
          <w:rFonts w:ascii="Arial" w:hAnsi="Arial" w:cs="Arial"/>
          <w:sz w:val="22"/>
          <w:szCs w:val="22"/>
        </w:rPr>
        <w:t xml:space="preserve"> convocadas para divulgar informaciones estratégicas del quehacer de la UNA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35 reportes de monitoreo</w:t>
      </w:r>
      <w:r>
        <w:rPr>
          <w:rFonts w:ascii="Arial" w:hAnsi="Arial" w:cs="Arial"/>
          <w:sz w:val="22"/>
          <w:szCs w:val="22"/>
        </w:rPr>
        <w:t xml:space="preserve"> de presencia UNA en periódicos de circulación nacional: 319 reportes diarios de monitoreo de UNA en los medios, 1.128 publicaciones concernientes a la UNA (100%).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10 representaciones de la UNA</w:t>
      </w:r>
      <w:r>
        <w:rPr>
          <w:rFonts w:ascii="Arial" w:hAnsi="Arial" w:cs="Arial"/>
          <w:sz w:val="22"/>
          <w:szCs w:val="22"/>
        </w:rPr>
        <w:t xml:space="preserve"> en materia de comunicación, divulgación y producción audiovisual, ante el </w:t>
      </w:r>
      <w:r>
        <w:rPr>
          <w:rFonts w:ascii="Arial" w:hAnsi="Arial" w:cs="Arial"/>
          <w:i/>
          <w:sz w:val="22"/>
          <w:szCs w:val="22"/>
        </w:rPr>
        <w:t>Conare</w:t>
      </w:r>
      <w:r>
        <w:rPr>
          <w:rFonts w:ascii="Arial" w:hAnsi="Arial" w:cs="Arial"/>
          <w:sz w:val="22"/>
          <w:szCs w:val="22"/>
        </w:rPr>
        <w:t xml:space="preserve">, mediante la asistencia a las 10 sesiones de su comisión de comunicación, así como ante otras instituciones según requerimientos institucionales (100%). </w:t>
      </w:r>
    </w:p>
    <w:p w:rsidR="00F87902" w:rsidRDefault="00F87902">
      <w:pPr>
        <w:pStyle w:val="Prrafodelista"/>
        <w:rPr>
          <w:rFonts w:ascii="Arial" w:hAnsi="Arial" w:cs="Arial"/>
          <w:sz w:val="22"/>
          <w:szCs w:val="22"/>
        </w:rPr>
      </w:pPr>
    </w:p>
    <w:p w:rsidR="00F87902" w:rsidRDefault="00F87902">
      <w:pPr>
        <w:ind w:left="708"/>
        <w:jc w:val="both"/>
        <w:rPr>
          <w:rFonts w:ascii="Arial" w:hAnsi="Arial" w:cs="Arial"/>
          <w:b/>
          <w:i/>
          <w:color w:val="0070C0"/>
          <w:sz w:val="22"/>
          <w:szCs w:val="22"/>
        </w:rPr>
      </w:pPr>
    </w:p>
    <w:p w:rsidR="00F87902" w:rsidRDefault="00A519F9">
      <w:pPr>
        <w:ind w:left="708"/>
        <w:jc w:val="both"/>
      </w:pPr>
      <w:r>
        <w:rPr>
          <w:rFonts w:ascii="Arial" w:hAnsi="Arial" w:cs="Arial"/>
          <w:b/>
          <w:i/>
          <w:sz w:val="22"/>
          <w:szCs w:val="22"/>
        </w:rPr>
        <w:t>Oficina de Relaciones Públicas.</w:t>
      </w:r>
    </w:p>
    <w:p w:rsidR="00F87902" w:rsidRDefault="00F87902">
      <w:pPr>
        <w:ind w:left="708"/>
        <w:jc w:val="both"/>
        <w:rPr>
          <w:rFonts w:ascii="Arial" w:hAnsi="Arial" w:cs="Arial"/>
          <w:b/>
          <w:i/>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generación de relaciones armoniosas con el sector diplomático acreditado en el país y académicos de universidades internacionales: se atendió la delegación de Turquía; se dio seguimiento a estudiantes becados por China y se continuó con el acercamiento a sectores académicos internacionales, entre los que destaca la Real Academia Española; atención al Embajador de Israel; preparación de gira al Rector en Alemania; preparación de actividad académica a la Embajada de Chile y con la Oficina de Cooperación Internacional.     </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plan</w:t>
      </w:r>
      <w:r>
        <w:rPr>
          <w:rFonts w:ascii="Arial" w:hAnsi="Arial" w:cs="Arial"/>
          <w:sz w:val="22"/>
          <w:szCs w:val="22"/>
        </w:rPr>
        <w:t xml:space="preserve"> para la construcción y operacionalización de la Unidad de Información y Orientación al usuario, como actividad permanente (100%).</w:t>
      </w:r>
    </w:p>
    <w:p w:rsidR="00F87902" w:rsidRDefault="00F87902">
      <w:pPr>
        <w:ind w:left="1068"/>
        <w:jc w:val="both"/>
        <w:rPr>
          <w:rFonts w:ascii="Arial" w:hAnsi="Arial" w:cs="Arial"/>
          <w:sz w:val="22"/>
          <w:szCs w:val="22"/>
        </w:rPr>
      </w:pPr>
    </w:p>
    <w:p w:rsidR="00F87902" w:rsidRDefault="00F87902">
      <w:pPr>
        <w:ind w:left="708"/>
        <w:jc w:val="both"/>
        <w:rPr>
          <w:rFonts w:ascii="Arial" w:hAnsi="Arial" w:cs="Arial"/>
          <w:b/>
          <w:i/>
          <w:color w:val="0070C0"/>
          <w:sz w:val="16"/>
          <w:szCs w:val="16"/>
        </w:rPr>
      </w:pPr>
    </w:p>
    <w:p w:rsidR="00F87902" w:rsidRDefault="00A519F9">
      <w:pPr>
        <w:ind w:left="708"/>
        <w:jc w:val="both"/>
      </w:pPr>
      <w:r>
        <w:rPr>
          <w:rFonts w:ascii="Arial" w:hAnsi="Arial" w:cs="Arial"/>
          <w:b/>
          <w:i/>
          <w:sz w:val="22"/>
          <w:szCs w:val="22"/>
        </w:rPr>
        <w:t>Oficina de Transferencia Tecnológica y Vinculación Externa</w:t>
      </w:r>
    </w:p>
    <w:p w:rsidR="00F87902" w:rsidRDefault="00F87902">
      <w:pPr>
        <w:ind w:left="1068" w:firstLine="70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1 catálogo de proyectos digital </w:t>
      </w:r>
      <w:r>
        <w:rPr>
          <w:rFonts w:ascii="Arial" w:hAnsi="Arial" w:cs="Arial"/>
          <w:sz w:val="22"/>
          <w:szCs w:val="22"/>
        </w:rPr>
        <w:t xml:space="preserve">de vinculación externa remunerada actualizado y con mantenimiento (100%).     </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100% de logro </w:t>
      </w:r>
      <w:r>
        <w:rPr>
          <w:rFonts w:ascii="Arial" w:hAnsi="Arial" w:cs="Arial"/>
          <w:sz w:val="22"/>
          <w:szCs w:val="22"/>
        </w:rPr>
        <w:t xml:space="preserve">en cuanto a la estrategia de comunicación y promoción del quehacer de los proyectos para potenciar su vínculo con los sectores nacionales, y participación en eventos relacionados con la vinculación externa remunerada.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revisión y propuesta de al menos 5 normativas y procedimientos en el ámbito institucional relacionado con la propiedad intelectual.</w:t>
      </w: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300 proyectos de vínculo externo, </w:t>
      </w:r>
      <w:r>
        <w:rPr>
          <w:rFonts w:ascii="Arial" w:hAnsi="Arial" w:cs="Arial"/>
          <w:sz w:val="22"/>
          <w:szCs w:val="22"/>
        </w:rPr>
        <w:t>depurados y clasificados para ajustarlos a la nueva normativa, en coordinación con la comisión designada para tal efecto (100%).</w:t>
      </w:r>
    </w:p>
    <w:p w:rsidR="00F87902" w:rsidRDefault="00F87902">
      <w:pPr>
        <w:pStyle w:val="Prrafodelista"/>
        <w:rPr>
          <w:rFonts w:ascii="Arial" w:hAnsi="Arial" w:cs="Arial"/>
          <w:b/>
          <w:i/>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sistema piloto</w:t>
      </w:r>
      <w:r>
        <w:rPr>
          <w:rFonts w:ascii="Arial" w:hAnsi="Arial" w:cs="Arial"/>
          <w:sz w:val="22"/>
          <w:szCs w:val="22"/>
        </w:rPr>
        <w:t xml:space="preserve"> de educación permanente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40% de avance</w:t>
      </w:r>
      <w:r>
        <w:rPr>
          <w:rFonts w:ascii="Arial" w:hAnsi="Arial" w:cs="Arial"/>
          <w:sz w:val="22"/>
          <w:szCs w:val="22"/>
        </w:rPr>
        <w:t xml:space="preserve"> en la revisión y propuesta de normativas y procedimientos institucionales relacionados con la educación permanente.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5 acciones</w:t>
      </w:r>
      <w:r>
        <w:rPr>
          <w:rFonts w:ascii="Arial" w:hAnsi="Arial" w:cs="Arial"/>
          <w:sz w:val="22"/>
          <w:szCs w:val="22"/>
        </w:rPr>
        <w:t xml:space="preserve"> de educación y sensibilización sobre la importancia de desarrollar buenas prácticas en la gestión de educación permanente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lastRenderedPageBreak/>
        <w:t>6 vinculaciones</w:t>
      </w:r>
      <w:r>
        <w:rPr>
          <w:rFonts w:ascii="Arial" w:hAnsi="Arial" w:cs="Arial"/>
          <w:sz w:val="22"/>
          <w:szCs w:val="22"/>
        </w:rPr>
        <w:t xml:space="preserve"> con instituciones y empresas a fin de divulgar los servicios de educación permanente: </w:t>
      </w:r>
      <w:r>
        <w:rPr>
          <w:rFonts w:ascii="Arial" w:hAnsi="Arial" w:cs="Arial"/>
          <w:i/>
          <w:sz w:val="22"/>
          <w:szCs w:val="22"/>
        </w:rPr>
        <w:t>Aresep</w:t>
      </w:r>
      <w:r>
        <w:rPr>
          <w:rFonts w:ascii="Arial" w:hAnsi="Arial" w:cs="Arial"/>
          <w:sz w:val="22"/>
          <w:szCs w:val="22"/>
        </w:rPr>
        <w:t>, Ministerio de Seguridad, Municipalidad de Escazú, Registro Nacional, MEP y MEIC (67%).</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16 cursos</w:t>
      </w:r>
      <w:r>
        <w:rPr>
          <w:rFonts w:ascii="Arial" w:hAnsi="Arial" w:cs="Arial"/>
          <w:sz w:val="22"/>
          <w:szCs w:val="22"/>
        </w:rPr>
        <w:t xml:space="preserve"> de emprendedores impartidos en las diferentes sedes de la UNA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8 participaciones</w:t>
      </w:r>
      <w:r>
        <w:rPr>
          <w:rFonts w:ascii="Arial" w:hAnsi="Arial" w:cs="Arial"/>
          <w:sz w:val="22"/>
          <w:szCs w:val="22"/>
        </w:rPr>
        <w:t xml:space="preserve"> en capacitaciones en temas relacionados con el proceso de gestión del emprendimiento, la innovación y la incubación de empresas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10 proyectos</w:t>
      </w:r>
      <w:r>
        <w:rPr>
          <w:rFonts w:ascii="Arial" w:hAnsi="Arial" w:cs="Arial"/>
          <w:sz w:val="22"/>
          <w:szCs w:val="22"/>
        </w:rPr>
        <w:t xml:space="preserve"> emprendedores incubados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5 alianzas</w:t>
      </w:r>
      <w:r>
        <w:rPr>
          <w:rFonts w:ascii="Arial" w:hAnsi="Arial" w:cs="Arial"/>
          <w:sz w:val="22"/>
          <w:szCs w:val="22"/>
        </w:rPr>
        <w:t xml:space="preserve"> para potenciar el desarrollo emprendedor de las micro y pequeñas empresas: Inamu, Embajada de Holanda, Cinat-UNA, Ministerio de Agricultura y Ganadería (100%).</w:t>
      </w:r>
    </w:p>
    <w:p w:rsidR="00F87902" w:rsidRDefault="00F87902">
      <w:pPr>
        <w:ind w:left="1068"/>
        <w:jc w:val="both"/>
        <w:rPr>
          <w:rFonts w:ascii="Arial" w:hAnsi="Arial" w:cs="Arial"/>
          <w:sz w:val="16"/>
          <w:szCs w:val="16"/>
        </w:rPr>
      </w:pPr>
    </w:p>
    <w:p w:rsidR="00F87902" w:rsidRDefault="00F87902">
      <w:pPr>
        <w:pStyle w:val="Prrafodelista"/>
        <w:rPr>
          <w:rFonts w:ascii="Arial" w:hAnsi="Arial" w:cs="Arial"/>
          <w:b/>
          <w:sz w:val="16"/>
          <w:szCs w:val="16"/>
        </w:rPr>
      </w:pPr>
    </w:p>
    <w:p w:rsidR="00F87902" w:rsidRDefault="00F87902">
      <w:pPr>
        <w:spacing w:line="360" w:lineRule="auto"/>
        <w:ind w:left="708"/>
        <w:jc w:val="both"/>
        <w:rPr>
          <w:rFonts w:ascii="Arial" w:hAnsi="Arial" w:cs="Arial"/>
          <w:b/>
        </w:rPr>
      </w:pPr>
    </w:p>
    <w:p w:rsidR="00F87902" w:rsidRDefault="00A519F9">
      <w:pPr>
        <w:spacing w:line="360" w:lineRule="auto"/>
        <w:ind w:left="708"/>
        <w:jc w:val="both"/>
      </w:pPr>
      <w:r>
        <w:rPr>
          <w:rFonts w:ascii="Arial" w:hAnsi="Arial" w:cs="Arial"/>
          <w:b/>
        </w:rPr>
        <w:t xml:space="preserve">Meta 1.4 Atender 1.501 estudios y trámites en materia judicial y de contraloría (21 estudios en el ámbito de la Contraloría Universitaria y 1.480 trámites en materia judicial).  </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de la meta del </w:t>
      </w:r>
      <w:r>
        <w:rPr>
          <w:rFonts w:ascii="Arial" w:hAnsi="Arial" w:cs="Arial"/>
          <w:b/>
          <w:sz w:val="22"/>
          <w:szCs w:val="22"/>
        </w:rPr>
        <w:t>100</w:t>
      </w:r>
      <w:r>
        <w:rPr>
          <w:rFonts w:ascii="Arial" w:hAnsi="Arial" w:cs="Arial"/>
          <w:sz w:val="22"/>
          <w:szCs w:val="22"/>
        </w:rPr>
        <w:t>% se basa en el desarrollo de las 1.784 actividades  detalladas a continuación:</w:t>
      </w: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Asesoría Jurídica.</w:t>
      </w:r>
    </w:p>
    <w:p w:rsidR="00F87902" w:rsidRDefault="00F87902">
      <w:pPr>
        <w:ind w:left="708"/>
        <w:jc w:val="both"/>
        <w:rPr>
          <w:rFonts w:ascii="Arial" w:hAnsi="Arial" w:cs="Arial"/>
          <w:b/>
          <w:i/>
          <w:sz w:val="22"/>
          <w:szCs w:val="22"/>
        </w:rPr>
      </w:pPr>
    </w:p>
    <w:p w:rsidR="00F87902" w:rsidRDefault="00A519F9">
      <w:pPr>
        <w:numPr>
          <w:ilvl w:val="0"/>
          <w:numId w:val="17"/>
        </w:numPr>
        <w:jc w:val="both"/>
        <w:rPr>
          <w:rFonts w:ascii="Arial" w:hAnsi="Arial" w:cs="Arial"/>
          <w:sz w:val="22"/>
          <w:szCs w:val="22"/>
        </w:rPr>
      </w:pPr>
      <w:r>
        <w:rPr>
          <w:rFonts w:ascii="Arial" w:hAnsi="Arial" w:cs="Arial"/>
          <w:b/>
          <w:sz w:val="22"/>
          <w:szCs w:val="22"/>
        </w:rPr>
        <w:t>151 procesos judiciales</w:t>
      </w:r>
      <w:r>
        <w:rPr>
          <w:rFonts w:ascii="Arial" w:hAnsi="Arial" w:cs="Arial"/>
          <w:sz w:val="22"/>
          <w:szCs w:val="22"/>
        </w:rPr>
        <w:t xml:space="preserve"> gestionados (75%).  </w:t>
      </w:r>
    </w:p>
    <w:p w:rsidR="00F87902" w:rsidRDefault="00F87902">
      <w:pPr>
        <w:pStyle w:val="Prrafodelista"/>
        <w:rPr>
          <w:rFonts w:ascii="Arial" w:hAnsi="Arial" w:cs="Arial"/>
          <w:sz w:val="22"/>
          <w:szCs w:val="22"/>
        </w:rPr>
      </w:pPr>
    </w:p>
    <w:p w:rsidR="00F87902" w:rsidRDefault="00A519F9">
      <w:pPr>
        <w:numPr>
          <w:ilvl w:val="0"/>
          <w:numId w:val="17"/>
        </w:numPr>
        <w:jc w:val="both"/>
        <w:rPr>
          <w:rFonts w:ascii="Arial" w:hAnsi="Arial" w:cs="Arial"/>
          <w:sz w:val="22"/>
          <w:szCs w:val="22"/>
        </w:rPr>
      </w:pPr>
      <w:r>
        <w:rPr>
          <w:rFonts w:ascii="Arial" w:hAnsi="Arial" w:cs="Arial"/>
          <w:b/>
          <w:sz w:val="22"/>
          <w:szCs w:val="22"/>
        </w:rPr>
        <w:t>859 consultas</w:t>
      </w:r>
      <w:r>
        <w:rPr>
          <w:rFonts w:ascii="Arial" w:hAnsi="Arial" w:cs="Arial"/>
          <w:sz w:val="22"/>
          <w:szCs w:val="22"/>
        </w:rPr>
        <w:t xml:space="preserve"> formales atendidas –535 mediante dictamen y 324 por medio del correo electrónico– (más del 100% estimado).</w:t>
      </w:r>
    </w:p>
    <w:p w:rsidR="00F87902" w:rsidRDefault="00F87902">
      <w:pPr>
        <w:ind w:left="1068"/>
        <w:jc w:val="both"/>
        <w:rPr>
          <w:rFonts w:ascii="Arial" w:hAnsi="Arial" w:cs="Arial"/>
          <w:sz w:val="22"/>
          <w:szCs w:val="22"/>
        </w:rPr>
      </w:pPr>
    </w:p>
    <w:p w:rsidR="00F87902" w:rsidRDefault="00A519F9">
      <w:pPr>
        <w:numPr>
          <w:ilvl w:val="0"/>
          <w:numId w:val="17"/>
        </w:numPr>
        <w:jc w:val="both"/>
        <w:rPr>
          <w:rFonts w:ascii="Arial" w:hAnsi="Arial" w:cs="Arial"/>
          <w:sz w:val="22"/>
          <w:szCs w:val="22"/>
        </w:rPr>
      </w:pPr>
      <w:r>
        <w:rPr>
          <w:rFonts w:ascii="Arial" w:hAnsi="Arial" w:cs="Arial"/>
          <w:b/>
          <w:sz w:val="22"/>
          <w:szCs w:val="22"/>
        </w:rPr>
        <w:t>57 gestiones</w:t>
      </w:r>
      <w:r>
        <w:rPr>
          <w:rFonts w:ascii="Arial" w:hAnsi="Arial" w:cs="Arial"/>
          <w:sz w:val="22"/>
          <w:szCs w:val="22"/>
        </w:rPr>
        <w:t xml:space="preserve"> de contratación administrativa atendidas (71%).    </w:t>
      </w:r>
    </w:p>
    <w:p w:rsidR="00F87902" w:rsidRDefault="00F87902">
      <w:pPr>
        <w:pStyle w:val="Prrafodelista"/>
        <w:rPr>
          <w:rFonts w:ascii="Arial" w:hAnsi="Arial" w:cs="Arial"/>
          <w:color w:val="0070C0"/>
          <w:sz w:val="22"/>
          <w:szCs w:val="22"/>
        </w:rPr>
      </w:pPr>
    </w:p>
    <w:p w:rsidR="00F87902" w:rsidRDefault="00A519F9">
      <w:pPr>
        <w:numPr>
          <w:ilvl w:val="0"/>
          <w:numId w:val="18"/>
        </w:numPr>
        <w:jc w:val="both"/>
        <w:rPr>
          <w:rFonts w:ascii="Arial" w:hAnsi="Arial" w:cs="Arial"/>
          <w:sz w:val="22"/>
          <w:szCs w:val="22"/>
        </w:rPr>
      </w:pPr>
      <w:r>
        <w:rPr>
          <w:rFonts w:ascii="Arial" w:hAnsi="Arial" w:cs="Arial"/>
          <w:b/>
          <w:sz w:val="22"/>
          <w:szCs w:val="22"/>
        </w:rPr>
        <w:t>694 gestiones notariales</w:t>
      </w:r>
      <w:r>
        <w:rPr>
          <w:rFonts w:ascii="Arial" w:hAnsi="Arial" w:cs="Arial"/>
          <w:sz w:val="22"/>
          <w:szCs w:val="22"/>
        </w:rPr>
        <w:t xml:space="preserve"> atendidas (más del 100% estimado). </w:t>
      </w:r>
    </w:p>
    <w:p w:rsidR="00F87902" w:rsidRDefault="00F87902">
      <w:pPr>
        <w:ind w:left="1068"/>
        <w:jc w:val="both"/>
        <w:rPr>
          <w:rFonts w:ascii="Arial" w:hAnsi="Arial" w:cs="Arial"/>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Contraloría Universitaria.</w:t>
      </w:r>
    </w:p>
    <w:p w:rsidR="00F87902" w:rsidRDefault="00F87902">
      <w:pPr>
        <w:spacing w:line="360" w:lineRule="auto"/>
        <w:ind w:left="708"/>
        <w:jc w:val="both"/>
        <w:rPr>
          <w:rFonts w:ascii="Arial" w:hAnsi="Arial" w:cs="Arial"/>
          <w:b/>
        </w:rPr>
      </w:pPr>
    </w:p>
    <w:p w:rsidR="00F87902" w:rsidRDefault="00A519F9">
      <w:pPr>
        <w:numPr>
          <w:ilvl w:val="0"/>
          <w:numId w:val="12"/>
        </w:numPr>
        <w:jc w:val="both"/>
        <w:rPr>
          <w:rFonts w:ascii="Arial" w:hAnsi="Arial" w:cs="Arial"/>
          <w:b/>
          <w:sz w:val="22"/>
          <w:szCs w:val="22"/>
        </w:rPr>
      </w:pPr>
      <w:r>
        <w:rPr>
          <w:rFonts w:ascii="Arial" w:hAnsi="Arial" w:cs="Arial"/>
          <w:b/>
          <w:sz w:val="22"/>
          <w:szCs w:val="22"/>
        </w:rPr>
        <w:t>5 estudios</w:t>
      </w:r>
      <w:r>
        <w:rPr>
          <w:rFonts w:ascii="Arial" w:hAnsi="Arial" w:cs="Arial"/>
          <w:sz w:val="22"/>
          <w:szCs w:val="22"/>
        </w:rPr>
        <w:t xml:space="preserve"> concluidos de enfoque académico, paraacadémico, estudiantil, administrativo y de vinculación externa, de los cuales se comunicaron resultados finales en 4 de ellos, 1 se encuentra en proceso de depuración del informe (99%).   </w:t>
      </w:r>
    </w:p>
    <w:p w:rsidR="00F87902" w:rsidRDefault="00F87902">
      <w:pPr>
        <w:ind w:left="1068"/>
        <w:jc w:val="both"/>
        <w:rPr>
          <w:rFonts w:ascii="Arial" w:hAnsi="Arial" w:cs="Arial"/>
          <w:b/>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17 estudios </w:t>
      </w:r>
      <w:r>
        <w:rPr>
          <w:rFonts w:ascii="Arial" w:hAnsi="Arial" w:cs="Arial"/>
          <w:sz w:val="22"/>
          <w:szCs w:val="22"/>
        </w:rPr>
        <w:t xml:space="preserve">(de auditoría o especiales) iniciados, de naturaleza académico-administrativa, tecnología de información y administrativo-financiera: 17 iniciados, s6 concluidos y 1 en proceso (95%).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1 estudio </w:t>
      </w:r>
      <w:r>
        <w:rPr>
          <w:rFonts w:ascii="Arial" w:hAnsi="Arial" w:cs="Arial"/>
          <w:sz w:val="22"/>
          <w:szCs w:val="22"/>
        </w:rPr>
        <w:t xml:space="preserve">de seguimiento anual de disposiciones administrativas derivadas de recomendaciones de auditoría (100%).    </w:t>
      </w:r>
    </w:p>
    <w:p w:rsidR="00F87902" w:rsidRDefault="00F87902">
      <w:pPr>
        <w:rPr>
          <w:rFonts w:ascii="Arial" w:hAnsi="Arial" w:cs="Arial"/>
        </w:rPr>
      </w:pPr>
    </w:p>
    <w:p w:rsidR="00F87902" w:rsidRDefault="00A519F9">
      <w:pPr>
        <w:jc w:val="both"/>
        <w:rPr>
          <w:rFonts w:ascii="Arial" w:hAnsi="Arial" w:cs="Arial"/>
        </w:rPr>
      </w:pPr>
      <w:r>
        <w:rPr>
          <w:rFonts w:ascii="Arial" w:hAnsi="Arial" w:cs="Arial"/>
        </w:rPr>
        <w:lastRenderedPageBreak/>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center"/>
        <w:rPr>
          <w:rFonts w:ascii="Arial" w:hAnsi="Arial" w:cs="Arial"/>
        </w:rPr>
      </w:pPr>
      <w:r>
        <w:rPr>
          <w:rFonts w:ascii="Arial" w:hAnsi="Arial" w:cs="Arial"/>
          <w:b/>
        </w:rPr>
        <w:t>CUADRO N°16</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u w:val="single"/>
        </w:rPr>
      </w:pPr>
      <w:r>
        <w:rPr>
          <w:rFonts w:ascii="Arial" w:hAnsi="Arial" w:cs="Arial"/>
          <w:sz w:val="22"/>
          <w:szCs w:val="22"/>
        </w:rPr>
        <w:t>(millones de colones</w:t>
      </w:r>
      <w:r>
        <w:rPr>
          <w:rFonts w:ascii="Arial" w:hAnsi="Arial" w:cs="Arial"/>
          <w:sz w:val="22"/>
          <w:szCs w:val="22"/>
          <w:u w:val="single"/>
        </w:rPr>
        <w:t>)</w:t>
      </w:r>
    </w:p>
    <w:p w:rsidR="00F87902" w:rsidRDefault="00F87902">
      <w:pPr>
        <w:jc w:val="center"/>
        <w:rPr>
          <w:rFonts w:ascii="Arial" w:hAnsi="Arial" w:cs="Arial"/>
        </w:rPr>
      </w:pPr>
    </w:p>
    <w:tbl>
      <w:tblPr>
        <w:tblW w:w="8720" w:type="dxa"/>
        <w:jc w:val="center"/>
        <w:tblBorders>
          <w:top w:val="single" w:sz="18" w:space="0" w:color="00000A"/>
        </w:tblBorders>
        <w:tblLook w:val="04A0"/>
      </w:tblPr>
      <w:tblGrid>
        <w:gridCol w:w="1397"/>
        <w:gridCol w:w="1505"/>
        <w:gridCol w:w="2385"/>
        <w:gridCol w:w="232"/>
        <w:gridCol w:w="1771"/>
        <w:gridCol w:w="1430"/>
      </w:tblGrid>
      <w:tr w:rsidR="00F87902">
        <w:trPr>
          <w:jc w:val="center"/>
        </w:trPr>
        <w:tc>
          <w:tcPr>
            <w:tcW w:w="1396"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90"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2" w:type="dxa"/>
            <w:tcBorders>
              <w:top w:val="single" w:sz="18" w:space="0" w:color="00000A"/>
            </w:tcBorders>
            <w:shd w:val="clear" w:color="auto" w:fill="auto"/>
          </w:tcPr>
          <w:p w:rsidR="00F87902" w:rsidRDefault="00F87902">
            <w:pPr>
              <w:jc w:val="center"/>
              <w:rPr>
                <w:rFonts w:ascii="Arial" w:hAnsi="Arial" w:cs="Arial"/>
                <w:b/>
              </w:rPr>
            </w:pPr>
          </w:p>
        </w:tc>
        <w:tc>
          <w:tcPr>
            <w:tcW w:w="3201"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396"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50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38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2"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71"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30"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396"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1.1</w:t>
            </w:r>
          </w:p>
        </w:tc>
        <w:tc>
          <w:tcPr>
            <w:tcW w:w="1505" w:type="dxa"/>
            <w:tcBorders>
              <w:top w:val="single" w:sz="12" w:space="0" w:color="00000A"/>
            </w:tcBorders>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17.197,3</w:t>
            </w:r>
          </w:p>
        </w:tc>
        <w:tc>
          <w:tcPr>
            <w:tcW w:w="2385" w:type="dxa"/>
            <w:tcBorders>
              <w:top w:val="single" w:sz="12" w:space="0" w:color="00000A"/>
            </w:tcBorders>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9.330,9</w:t>
            </w:r>
          </w:p>
        </w:tc>
        <w:tc>
          <w:tcPr>
            <w:tcW w:w="232"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71"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8.773,6</w:t>
            </w:r>
          </w:p>
        </w:tc>
        <w:tc>
          <w:tcPr>
            <w:tcW w:w="1430" w:type="dxa"/>
            <w:tcBorders>
              <w:top w:val="single" w:sz="12" w:space="0" w:color="00000A"/>
            </w:tcBorders>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94,0%</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1.2</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1.986,7</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1.962,1</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1.427,4</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72,8%</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1.3</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940,3</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988,0</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935,6</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94,7%</w:t>
            </w:r>
          </w:p>
        </w:tc>
      </w:tr>
      <w:tr w:rsidR="00F87902">
        <w:trPr>
          <w:jc w:val="center"/>
        </w:trPr>
        <w:tc>
          <w:tcPr>
            <w:tcW w:w="1396" w:type="dxa"/>
            <w:shd w:val="clear" w:color="auto" w:fill="auto"/>
          </w:tcPr>
          <w:p w:rsidR="00F87902" w:rsidRDefault="00A519F9">
            <w:pPr>
              <w:jc w:val="center"/>
              <w:rPr>
                <w:rFonts w:ascii="Arial" w:hAnsi="Arial" w:cs="Arial"/>
                <w:b/>
                <w:sz w:val="20"/>
                <w:szCs w:val="20"/>
              </w:rPr>
            </w:pPr>
            <w:r>
              <w:rPr>
                <w:rFonts w:ascii="Arial" w:hAnsi="Arial" w:cs="Arial"/>
                <w:b/>
                <w:sz w:val="20"/>
                <w:szCs w:val="20"/>
              </w:rPr>
              <w:t>1.4</w:t>
            </w:r>
          </w:p>
        </w:tc>
        <w:tc>
          <w:tcPr>
            <w:tcW w:w="1505" w:type="dxa"/>
            <w:shd w:val="clear" w:color="auto" w:fill="auto"/>
            <w:vAlign w:val="bottom"/>
          </w:tcPr>
          <w:p w:rsidR="00F87902" w:rsidRDefault="00A519F9">
            <w:pPr>
              <w:ind w:left="283" w:right="227"/>
              <w:jc w:val="right"/>
              <w:rPr>
                <w:rFonts w:ascii="Arial" w:hAnsi="Arial" w:cs="Arial"/>
                <w:sz w:val="20"/>
                <w:szCs w:val="20"/>
              </w:rPr>
            </w:pPr>
            <w:r>
              <w:rPr>
                <w:rFonts w:ascii="Arial" w:hAnsi="Arial" w:cs="Arial"/>
                <w:sz w:val="20"/>
                <w:szCs w:val="20"/>
              </w:rPr>
              <w:t>1.179,2</w:t>
            </w:r>
          </w:p>
        </w:tc>
        <w:tc>
          <w:tcPr>
            <w:tcW w:w="2385" w:type="dxa"/>
            <w:shd w:val="clear" w:color="auto" w:fill="auto"/>
            <w:vAlign w:val="bottom"/>
          </w:tcPr>
          <w:p w:rsidR="00F87902" w:rsidRDefault="00A519F9">
            <w:pPr>
              <w:ind w:left="283" w:right="794"/>
              <w:jc w:val="right"/>
              <w:rPr>
                <w:rFonts w:ascii="Arial" w:hAnsi="Arial" w:cs="Arial"/>
                <w:sz w:val="20"/>
                <w:szCs w:val="20"/>
              </w:rPr>
            </w:pPr>
            <w:r>
              <w:rPr>
                <w:rFonts w:ascii="Arial" w:hAnsi="Arial" w:cs="Arial"/>
                <w:sz w:val="20"/>
                <w:szCs w:val="20"/>
              </w:rPr>
              <w:t>1.120,2</w:t>
            </w: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1.026,3</w:t>
            </w:r>
          </w:p>
        </w:tc>
        <w:tc>
          <w:tcPr>
            <w:tcW w:w="1430"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91,6%</w:t>
            </w:r>
          </w:p>
        </w:tc>
      </w:tr>
      <w:tr w:rsidR="00F87902">
        <w:trPr>
          <w:trHeight w:val="156"/>
          <w:jc w:val="center"/>
        </w:trPr>
        <w:tc>
          <w:tcPr>
            <w:tcW w:w="1396" w:type="dxa"/>
            <w:shd w:val="clear" w:color="auto" w:fill="auto"/>
          </w:tcPr>
          <w:p w:rsidR="00F87902" w:rsidRDefault="00F87902">
            <w:pPr>
              <w:rPr>
                <w:rFonts w:ascii="Arial" w:hAnsi="Arial" w:cs="Arial"/>
                <w:b/>
                <w:sz w:val="20"/>
                <w:szCs w:val="20"/>
              </w:rPr>
            </w:pPr>
          </w:p>
        </w:tc>
        <w:tc>
          <w:tcPr>
            <w:tcW w:w="1505" w:type="dxa"/>
            <w:shd w:val="clear" w:color="auto" w:fill="auto"/>
          </w:tcPr>
          <w:p w:rsidR="00F87902" w:rsidRDefault="00F87902">
            <w:pPr>
              <w:ind w:left="283" w:right="227"/>
              <w:jc w:val="right"/>
              <w:rPr>
                <w:rFonts w:ascii="Arial" w:hAnsi="Arial" w:cs="Arial"/>
                <w:sz w:val="20"/>
                <w:szCs w:val="20"/>
              </w:rPr>
            </w:pPr>
          </w:p>
        </w:tc>
        <w:tc>
          <w:tcPr>
            <w:tcW w:w="2385" w:type="dxa"/>
            <w:shd w:val="clear" w:color="auto" w:fill="auto"/>
          </w:tcPr>
          <w:p w:rsidR="00F87902" w:rsidRDefault="00F87902">
            <w:pPr>
              <w:ind w:left="283" w:right="794"/>
              <w:jc w:val="right"/>
              <w:rPr>
                <w:rFonts w:ascii="Arial" w:hAnsi="Arial" w:cs="Arial"/>
                <w:sz w:val="20"/>
                <w:szCs w:val="20"/>
              </w:rPr>
            </w:pPr>
          </w:p>
        </w:tc>
        <w:tc>
          <w:tcPr>
            <w:tcW w:w="232" w:type="dxa"/>
            <w:shd w:val="clear" w:color="auto" w:fill="auto"/>
          </w:tcPr>
          <w:p w:rsidR="00F87902" w:rsidRDefault="00F87902">
            <w:pPr>
              <w:jc w:val="center"/>
              <w:rPr>
                <w:rFonts w:ascii="Arial" w:hAnsi="Arial" w:cs="Arial"/>
                <w:color w:val="0070C0"/>
                <w:sz w:val="20"/>
                <w:szCs w:val="20"/>
              </w:rPr>
            </w:pPr>
          </w:p>
        </w:tc>
        <w:tc>
          <w:tcPr>
            <w:tcW w:w="1771" w:type="dxa"/>
            <w:shd w:val="clear" w:color="auto" w:fill="auto"/>
          </w:tcPr>
          <w:p w:rsidR="00F87902" w:rsidRDefault="00F87902">
            <w:pPr>
              <w:ind w:left="283" w:right="340"/>
              <w:jc w:val="right"/>
              <w:rPr>
                <w:rFonts w:ascii="Arial" w:hAnsi="Arial" w:cs="Arial"/>
                <w:sz w:val="20"/>
                <w:szCs w:val="20"/>
              </w:rPr>
            </w:pPr>
          </w:p>
        </w:tc>
        <w:tc>
          <w:tcPr>
            <w:tcW w:w="1430" w:type="dxa"/>
            <w:shd w:val="clear" w:color="auto" w:fill="auto"/>
          </w:tcPr>
          <w:p w:rsidR="00F87902" w:rsidRDefault="00F87902">
            <w:pPr>
              <w:ind w:left="283" w:right="283"/>
              <w:jc w:val="right"/>
              <w:rPr>
                <w:rFonts w:ascii="Arial" w:hAnsi="Arial" w:cs="Arial"/>
                <w:sz w:val="20"/>
                <w:szCs w:val="20"/>
              </w:rPr>
            </w:pPr>
          </w:p>
        </w:tc>
      </w:tr>
      <w:tr w:rsidR="00F87902">
        <w:trPr>
          <w:jc w:val="center"/>
        </w:trPr>
        <w:tc>
          <w:tcPr>
            <w:tcW w:w="1396" w:type="dxa"/>
            <w:tcBorders>
              <w:top w:val="single" w:sz="18" w:space="0" w:color="00000A"/>
              <w:bottom w:val="single" w:sz="18" w:space="0" w:color="00000A"/>
            </w:tcBorders>
            <w:shd w:val="clear" w:color="auto" w:fill="auto"/>
          </w:tcPr>
          <w:p w:rsidR="00F87902" w:rsidRDefault="00A519F9">
            <w:pPr>
              <w:jc w:val="center"/>
              <w:rPr>
                <w:rFonts w:ascii="Arial" w:hAnsi="Arial" w:cs="Arial"/>
                <w:b/>
              </w:rPr>
            </w:pPr>
            <w:r>
              <w:rPr>
                <w:rFonts w:ascii="Arial" w:hAnsi="Arial" w:cs="Arial"/>
                <w:b/>
                <w:sz w:val="20"/>
                <w:szCs w:val="20"/>
              </w:rPr>
              <w:t>Objetivo 1</w:t>
            </w:r>
          </w:p>
        </w:tc>
        <w:tc>
          <w:tcPr>
            <w:tcW w:w="1505" w:type="dxa"/>
            <w:tcBorders>
              <w:top w:val="single" w:sz="18" w:space="0" w:color="00000A"/>
              <w:bottom w:val="single" w:sz="18" w:space="0" w:color="00000A"/>
            </w:tcBorders>
            <w:shd w:val="clear" w:color="auto" w:fill="auto"/>
          </w:tcPr>
          <w:p w:rsidR="00F87902" w:rsidRDefault="00A519F9">
            <w:pPr>
              <w:ind w:left="283" w:right="227"/>
              <w:jc w:val="right"/>
              <w:rPr>
                <w:rFonts w:ascii="Arial" w:hAnsi="Arial" w:cs="Arial"/>
                <w:b/>
                <w:sz w:val="20"/>
                <w:szCs w:val="20"/>
              </w:rPr>
            </w:pPr>
            <w:r>
              <w:rPr>
                <w:rFonts w:ascii="Arial" w:hAnsi="Arial" w:cs="Arial"/>
                <w:b/>
                <w:sz w:val="20"/>
                <w:szCs w:val="20"/>
              </w:rPr>
              <w:t>21.303,4</w:t>
            </w:r>
          </w:p>
        </w:tc>
        <w:tc>
          <w:tcPr>
            <w:tcW w:w="2385" w:type="dxa"/>
            <w:tcBorders>
              <w:top w:val="single" w:sz="18" w:space="0" w:color="00000A"/>
              <w:bottom w:val="single" w:sz="18" w:space="0" w:color="00000A"/>
            </w:tcBorders>
            <w:shd w:val="clear" w:color="auto" w:fill="auto"/>
          </w:tcPr>
          <w:p w:rsidR="00F87902" w:rsidRDefault="00A519F9">
            <w:pPr>
              <w:ind w:left="283" w:right="794"/>
              <w:jc w:val="right"/>
              <w:rPr>
                <w:rFonts w:ascii="Arial" w:hAnsi="Arial" w:cs="Arial"/>
                <w:b/>
                <w:sz w:val="20"/>
                <w:szCs w:val="20"/>
              </w:rPr>
            </w:pPr>
            <w:r>
              <w:rPr>
                <w:rFonts w:ascii="Arial" w:hAnsi="Arial" w:cs="Arial"/>
                <w:b/>
                <w:sz w:val="20"/>
                <w:szCs w:val="20"/>
              </w:rPr>
              <w:t>13.401,2</w:t>
            </w:r>
          </w:p>
        </w:tc>
        <w:tc>
          <w:tcPr>
            <w:tcW w:w="232" w:type="dxa"/>
            <w:tcBorders>
              <w:top w:val="single" w:sz="18" w:space="0" w:color="00000A"/>
              <w:bottom w:val="single" w:sz="18" w:space="0" w:color="00000A"/>
            </w:tcBorders>
            <w:shd w:val="clear" w:color="auto" w:fill="auto"/>
          </w:tcPr>
          <w:p w:rsidR="00F87902" w:rsidRDefault="00F87902">
            <w:pPr>
              <w:jc w:val="center"/>
              <w:rPr>
                <w:rFonts w:ascii="Arial" w:hAnsi="Arial" w:cs="Arial"/>
                <w:b/>
                <w:color w:val="0070C0"/>
                <w:sz w:val="20"/>
                <w:szCs w:val="20"/>
              </w:rPr>
            </w:pPr>
          </w:p>
        </w:tc>
        <w:tc>
          <w:tcPr>
            <w:tcW w:w="1771"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12.162,9</w:t>
            </w:r>
          </w:p>
        </w:tc>
        <w:tc>
          <w:tcPr>
            <w:tcW w:w="1430" w:type="dxa"/>
            <w:tcBorders>
              <w:top w:val="single" w:sz="18" w:space="0" w:color="00000A"/>
              <w:bottom w:val="single" w:sz="18" w:space="0" w:color="00000A"/>
            </w:tcBorders>
            <w:shd w:val="clear" w:color="auto" w:fill="auto"/>
          </w:tcPr>
          <w:p w:rsidR="00F87902" w:rsidRDefault="00A519F9">
            <w:pPr>
              <w:ind w:left="283" w:right="283"/>
              <w:jc w:val="right"/>
              <w:rPr>
                <w:rFonts w:ascii="Arial" w:hAnsi="Arial" w:cs="Arial"/>
                <w:b/>
                <w:sz w:val="20"/>
                <w:szCs w:val="20"/>
              </w:rPr>
            </w:pPr>
            <w:r>
              <w:rPr>
                <w:rFonts w:ascii="Arial" w:hAnsi="Arial" w:cs="Arial"/>
                <w:b/>
                <w:sz w:val="20"/>
                <w:szCs w:val="20"/>
              </w:rPr>
              <w:t>90,8%</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2. Propiciar la mejora en los servicios de apoyo administrativos para garantizar el quehacer sustantivo universitario.</w:t>
      </w:r>
    </w:p>
    <w:p w:rsidR="00F87902" w:rsidRDefault="00F87902">
      <w:pPr>
        <w:spacing w:line="360" w:lineRule="auto"/>
        <w:jc w:val="both"/>
        <w:rPr>
          <w:rFonts w:ascii="Arial" w:hAnsi="Arial" w:cs="Arial"/>
          <w:b/>
          <w:i/>
        </w:rPr>
      </w:pPr>
    </w:p>
    <w:p w:rsidR="00F87902" w:rsidRDefault="00A519F9">
      <w:pPr>
        <w:spacing w:line="360" w:lineRule="auto"/>
        <w:jc w:val="both"/>
        <w:rPr>
          <w:rFonts w:ascii="Arial" w:hAnsi="Arial" w:cs="Arial"/>
          <w:b/>
        </w:rPr>
      </w:pPr>
      <w:r>
        <w:rPr>
          <w:rFonts w:ascii="Arial" w:hAnsi="Arial" w:cs="Arial"/>
          <w:b/>
        </w:rPr>
        <w:t xml:space="preserve">Meta 2.1  Atender 55 solicitudes de servicios generales (seguridad, transportes, archivo, proveeduría, correos) en la Universidad.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La atención de 46 solicitudes en este ámbito muestra un cumplimiento en torno al </w:t>
      </w:r>
      <w:r>
        <w:rPr>
          <w:rFonts w:ascii="Arial" w:hAnsi="Arial" w:cs="Arial"/>
          <w:b/>
          <w:sz w:val="22"/>
          <w:szCs w:val="22"/>
        </w:rPr>
        <w:t>84%</w:t>
      </w:r>
      <w:r>
        <w:rPr>
          <w:rFonts w:ascii="Arial" w:hAnsi="Arial" w:cs="Arial"/>
          <w:sz w:val="22"/>
          <w:szCs w:val="22"/>
        </w:rPr>
        <w:t xml:space="preserve">, según se describe:    </w:t>
      </w:r>
    </w:p>
    <w:p w:rsidR="00F87902" w:rsidRDefault="00F87902">
      <w:pPr>
        <w:ind w:left="708"/>
        <w:jc w:val="both"/>
        <w:rPr>
          <w:rFonts w:ascii="Arial" w:hAnsi="Arial" w:cs="Arial"/>
          <w:b/>
          <w:i/>
          <w:sz w:val="22"/>
          <w:szCs w:val="22"/>
        </w:rPr>
      </w:pPr>
    </w:p>
    <w:p w:rsidR="00F87902" w:rsidRDefault="00A519F9">
      <w:pPr>
        <w:ind w:left="708"/>
        <w:jc w:val="both"/>
        <w:rPr>
          <w:rFonts w:ascii="Arial" w:hAnsi="Arial" w:cs="Arial"/>
          <w:b/>
          <w:i/>
          <w:sz w:val="22"/>
          <w:szCs w:val="22"/>
        </w:rPr>
      </w:pPr>
      <w:r>
        <w:rPr>
          <w:rFonts w:ascii="Arial" w:hAnsi="Arial" w:cs="Arial"/>
          <w:b/>
          <w:i/>
          <w:sz w:val="22"/>
          <w:szCs w:val="22"/>
        </w:rPr>
        <w:t xml:space="preserve">Programa de Servicios Generales.    </w:t>
      </w:r>
    </w:p>
    <w:p w:rsidR="00F87902" w:rsidRDefault="00F87902">
      <w:pPr>
        <w:ind w:left="708"/>
        <w:jc w:val="both"/>
        <w:rPr>
          <w:rFonts w:ascii="Arial" w:hAnsi="Arial" w:cs="Arial"/>
          <w:b/>
          <w:i/>
          <w:sz w:val="22"/>
          <w:szCs w:val="22"/>
        </w:rPr>
      </w:pPr>
    </w:p>
    <w:p w:rsidR="00F87902" w:rsidRDefault="00A519F9">
      <w:pPr>
        <w:numPr>
          <w:ilvl w:val="0"/>
          <w:numId w:val="12"/>
        </w:numPr>
        <w:jc w:val="both"/>
      </w:pPr>
      <w:r>
        <w:rPr>
          <w:rFonts w:ascii="Arial" w:hAnsi="Arial" w:cs="Arial"/>
          <w:b/>
          <w:sz w:val="22"/>
          <w:szCs w:val="22"/>
        </w:rPr>
        <w:t>75% de logro</w:t>
      </w:r>
      <w:r>
        <w:rPr>
          <w:rFonts w:ascii="Arial" w:hAnsi="Arial" w:cs="Arial"/>
          <w:sz w:val="22"/>
          <w:szCs w:val="22"/>
        </w:rPr>
        <w:t xml:space="preserve"> en el levantamiento de la información para elaborar 7 protocolos, los cuales se confeccionarán en versión borrador en el primer semestre del 2016.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 xml:space="preserve">55% de logro </w:t>
      </w:r>
      <w:r>
        <w:rPr>
          <w:rFonts w:ascii="Arial" w:hAnsi="Arial" w:cs="Arial"/>
          <w:sz w:val="22"/>
          <w:szCs w:val="22"/>
        </w:rPr>
        <w:t xml:space="preserve">en el Plan de intervención de la seguridad con aseguramiento electrónico mediante puntos de alarma en 10 edificaciones en los campus Omar Dengo y Benjamín Núñez, finca Santa Lucía, </w:t>
      </w:r>
      <w:r>
        <w:rPr>
          <w:rFonts w:ascii="Arial" w:hAnsi="Arial" w:cs="Arial"/>
          <w:i/>
          <w:sz w:val="22"/>
          <w:szCs w:val="22"/>
        </w:rPr>
        <w:t>Inisefor</w:t>
      </w:r>
      <w:r>
        <w:rPr>
          <w:rFonts w:ascii="Arial" w:hAnsi="Arial" w:cs="Arial"/>
          <w:sz w:val="22"/>
          <w:szCs w:val="22"/>
        </w:rPr>
        <w:t>, Museo de Cultura Popular y sedes regionales.</w:t>
      </w:r>
    </w:p>
    <w:p w:rsidR="00F87902" w:rsidRDefault="00F87902">
      <w:pPr>
        <w:pStyle w:val="Prrafodelista"/>
        <w:rPr>
          <w:rFonts w:ascii="Arial" w:hAnsi="Arial" w:cs="Arial"/>
          <w:b/>
          <w:i/>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2 sedes regionales y 2 estaciones comunicadas</w:t>
      </w:r>
      <w:r>
        <w:rPr>
          <w:rFonts w:ascii="Arial" w:hAnsi="Arial" w:cs="Arial"/>
          <w:sz w:val="22"/>
          <w:szCs w:val="22"/>
        </w:rPr>
        <w:t xml:space="preserve"> con el Centro de Monitoreo por medio del equipo respectivo: se instalaron repetidoras en el volcán Irazú, Cerro Azul,</w:t>
      </w:r>
    </w:p>
    <w:p w:rsidR="00F87902" w:rsidRDefault="00A519F9">
      <w:pPr>
        <w:ind w:left="1068"/>
        <w:jc w:val="both"/>
      </w:pPr>
      <w:r>
        <w:rPr>
          <w:rFonts w:ascii="Arial" w:hAnsi="Arial" w:cs="Arial"/>
          <w:sz w:val="22"/>
          <w:szCs w:val="22"/>
        </w:rPr>
        <w:lastRenderedPageBreak/>
        <w:t>Cerro de la Muerte y en el campus Omar Dengo, lo cual comunica con el Centro de Monitoreo a la sede regional Chorotega y a la sede regional Brunca, la Estación 28 Millas y la Estación Biológica de Puntarenas (100%).</w:t>
      </w:r>
    </w:p>
    <w:p w:rsidR="00F87902" w:rsidRDefault="00F87902">
      <w:pPr>
        <w:ind w:left="1068"/>
        <w:jc w:val="both"/>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 xml:space="preserve">9 instancias consideradas en un plan piloto </w:t>
      </w:r>
      <w:r>
        <w:rPr>
          <w:rFonts w:ascii="Arial" w:hAnsi="Arial" w:cs="Arial"/>
          <w:sz w:val="22"/>
          <w:szCs w:val="22"/>
        </w:rPr>
        <w:t>para establecer un sistema de gestión de documentos electrónicos que permita utilizar la firma digital certificada, a fin de simplificar y automatizar las funciones de archivo, para garantizar la conservación y maximizar la transparencia administrativa (más del 100% estimado).</w:t>
      </w:r>
    </w:p>
    <w:p w:rsidR="00F87902" w:rsidRDefault="00F87902">
      <w:pPr>
        <w:ind w:left="1068"/>
        <w:jc w:val="both"/>
        <w:rPr>
          <w:rFonts w:ascii="Arial" w:hAnsi="Arial" w:cs="Arial"/>
          <w:b/>
          <w:i/>
          <w:color w:val="E36C0A" w:themeColor="accent6" w:themeShade="BF"/>
          <w:sz w:val="22"/>
          <w:szCs w:val="22"/>
        </w:rPr>
      </w:pPr>
    </w:p>
    <w:p w:rsidR="00F87902" w:rsidRDefault="00A519F9">
      <w:pPr>
        <w:numPr>
          <w:ilvl w:val="0"/>
          <w:numId w:val="12"/>
        </w:numPr>
        <w:jc w:val="both"/>
      </w:pPr>
      <w:r>
        <w:rPr>
          <w:rFonts w:ascii="Arial" w:hAnsi="Arial" w:cs="Arial"/>
          <w:b/>
          <w:sz w:val="22"/>
          <w:szCs w:val="22"/>
        </w:rPr>
        <w:t xml:space="preserve">2 diagnósticos archivísticos </w:t>
      </w:r>
      <w:r>
        <w:rPr>
          <w:rFonts w:ascii="Arial" w:hAnsi="Arial" w:cs="Arial"/>
          <w:sz w:val="22"/>
          <w:szCs w:val="22"/>
        </w:rPr>
        <w:t>que determinen la situación real archivística, para la creación de archivos periféricos y especializados (50%).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diagnóstico archivístico</w:t>
      </w:r>
      <w:r>
        <w:rPr>
          <w:rFonts w:ascii="Arial" w:hAnsi="Arial" w:cs="Arial"/>
          <w:sz w:val="22"/>
          <w:szCs w:val="22"/>
        </w:rPr>
        <w:t xml:space="preserve"> que determine la situación real achivística, para la creación de un archivo periférico o especializado en una sede regional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manual de normas y procedimientos</w:t>
      </w:r>
      <w:r>
        <w:rPr>
          <w:rFonts w:ascii="Arial" w:hAnsi="Arial" w:cs="Arial"/>
          <w:sz w:val="22"/>
          <w:szCs w:val="22"/>
        </w:rPr>
        <w:t xml:space="preserve"> para los usuarios del servicio de correo institucional (100%).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sz w:val="22"/>
          <w:szCs w:val="22"/>
        </w:rPr>
        <w:t>Implementación de un mecanismo para administrar la flota vehicular en el 25% de los vehículos institucionales (57): se instaló el mecanismo para la administración de flota vehicular, además de un sistema de control de combustible en 134 vehículos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 gestión de mantenimiento de casetas de seguridad para mejorar las condiciones laborales de los oficiales y contribuir con una infraestructura más adecuada para propiciar la seguridad.</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 gestión de construcción de 3 casetas de seguridad.</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 solicitud de traslado de caseta del Cinpe para disminuir la incidencia en los daños a vehículos.</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 gestión de compra de dos motocicletas adicionales para realizar rondas en varios espacios universitarios.</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 xml:space="preserve">1 campaña sobre seguridad vial y rotulación de información para contactar medios de respuesta en caso de emergencia, así como reunión con estudiantes de la </w:t>
      </w:r>
      <w:r>
        <w:rPr>
          <w:rFonts w:ascii="Arial" w:hAnsi="Arial" w:cs="Arial"/>
          <w:i/>
          <w:sz w:val="22"/>
          <w:szCs w:val="22"/>
        </w:rPr>
        <w:t>Feun</w:t>
      </w:r>
      <w:r>
        <w:rPr>
          <w:rFonts w:ascii="Arial" w:hAnsi="Arial" w:cs="Arial"/>
          <w:sz w:val="22"/>
          <w:szCs w:val="22"/>
        </w:rPr>
        <w:t>a a fin de establecer estrategias por medio de redes sociales y grupos que de forma voluntaria dediquen tiempo para transmitir medidas preventivas a la población estudiantil.</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Atención de las solicitudes de mantenimiento preventivo y correctivo de la flotilla vehicular institucional.</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Entrega de 89.305 envíos de correspondencia institucional, por medio de mensajería interna y externa.</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Diversificación del servicio de la Unidad de correo institucional: traslado de activos del Sistema Bibliotecario de las bibliotecas especializadas, y atención del convenio UNA-UNED de la Escuela Ecuménica y Ciencias de la Religión.</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lastRenderedPageBreak/>
        <w:t>Definición de requerimientos de 3 procesos del que sirvan como insumo para la automatización.</w:t>
      </w:r>
    </w:p>
    <w:p w:rsidR="00F87902" w:rsidRDefault="00F87902">
      <w:pPr>
        <w:pStyle w:val="Prrafodelista"/>
        <w:rPr>
          <w:rFonts w:ascii="Arial" w:hAnsi="Arial" w:cs="Arial"/>
          <w:sz w:val="22"/>
          <w:szCs w:val="22"/>
        </w:rPr>
      </w:pPr>
    </w:p>
    <w:p w:rsidR="00F87902" w:rsidRDefault="00F87902">
      <w:pPr>
        <w:ind w:left="708"/>
        <w:jc w:val="both"/>
        <w:rPr>
          <w:rFonts w:ascii="Arial" w:hAnsi="Arial" w:cs="Arial"/>
          <w:b/>
          <w:i/>
          <w:sz w:val="22"/>
          <w:szCs w:val="22"/>
        </w:rPr>
      </w:pPr>
    </w:p>
    <w:p w:rsidR="00F87902" w:rsidRDefault="00F87902">
      <w:pPr>
        <w:ind w:left="708"/>
        <w:jc w:val="both"/>
        <w:rPr>
          <w:rFonts w:ascii="Arial" w:hAnsi="Arial" w:cs="Arial"/>
          <w:b/>
          <w:i/>
          <w:sz w:val="22"/>
          <w:szCs w:val="22"/>
        </w:rPr>
      </w:pPr>
    </w:p>
    <w:p w:rsidR="00F87902" w:rsidRDefault="00A519F9">
      <w:pPr>
        <w:ind w:left="708"/>
        <w:jc w:val="both"/>
      </w:pPr>
      <w:r>
        <w:rPr>
          <w:rFonts w:ascii="Arial" w:hAnsi="Arial" w:cs="Arial"/>
          <w:b/>
          <w:i/>
          <w:sz w:val="22"/>
          <w:szCs w:val="22"/>
        </w:rPr>
        <w:t>Proveeduría Institucional.</w:t>
      </w:r>
    </w:p>
    <w:p w:rsidR="00F87902" w:rsidRDefault="00F87902">
      <w:pPr>
        <w:ind w:left="708"/>
        <w:jc w:val="both"/>
        <w:rPr>
          <w:rFonts w:ascii="Arial" w:hAnsi="Arial" w:cs="Arial"/>
          <w:sz w:val="22"/>
          <w:szCs w:val="22"/>
        </w:rPr>
      </w:pPr>
    </w:p>
    <w:p w:rsidR="00F87902" w:rsidRDefault="00F87902">
      <w:pPr>
        <w:ind w:left="1068"/>
        <w:jc w:val="both"/>
        <w:rPr>
          <w:rFonts w:ascii="Arial" w:hAnsi="Arial" w:cs="Arial"/>
          <w:iCs/>
          <w:sz w:val="22"/>
          <w:szCs w:val="22"/>
        </w:rPr>
      </w:pPr>
    </w:p>
    <w:p w:rsidR="00F87902" w:rsidRDefault="00A519F9">
      <w:pPr>
        <w:numPr>
          <w:ilvl w:val="0"/>
          <w:numId w:val="12"/>
        </w:numPr>
        <w:jc w:val="both"/>
        <w:rPr>
          <w:rFonts w:ascii="Arial" w:hAnsi="Arial" w:cs="Arial"/>
          <w:iCs/>
          <w:sz w:val="22"/>
          <w:szCs w:val="22"/>
        </w:rPr>
      </w:pPr>
      <w:r>
        <w:rPr>
          <w:rFonts w:ascii="Arial" w:hAnsi="Arial" w:cs="Arial"/>
          <w:b/>
          <w:iCs/>
          <w:sz w:val="22"/>
          <w:szCs w:val="22"/>
        </w:rPr>
        <w:t>1 mecanismo</w:t>
      </w:r>
      <w:r>
        <w:rPr>
          <w:rFonts w:ascii="Arial" w:hAnsi="Arial" w:cs="Arial"/>
          <w:iCs/>
          <w:sz w:val="22"/>
          <w:szCs w:val="22"/>
        </w:rPr>
        <w:t xml:space="preserve"> que facilite la normalización de requerimientos de bienes y servicios: fase de análisis de datos (100%).</w:t>
      </w:r>
    </w:p>
    <w:p w:rsidR="00F87902" w:rsidRDefault="00F87902">
      <w:pPr>
        <w:ind w:left="1068"/>
        <w:jc w:val="both"/>
        <w:rPr>
          <w:rFonts w:ascii="Arial" w:hAnsi="Arial" w:cs="Arial"/>
          <w:iCs/>
          <w:sz w:val="22"/>
          <w:szCs w:val="22"/>
        </w:rPr>
      </w:pPr>
    </w:p>
    <w:p w:rsidR="00F87902" w:rsidRDefault="00A519F9">
      <w:pPr>
        <w:numPr>
          <w:ilvl w:val="0"/>
          <w:numId w:val="12"/>
        </w:numPr>
        <w:jc w:val="both"/>
        <w:rPr>
          <w:rFonts w:ascii="Arial" w:hAnsi="Arial" w:cs="Arial"/>
          <w:iCs/>
          <w:sz w:val="22"/>
          <w:szCs w:val="22"/>
        </w:rPr>
      </w:pPr>
      <w:r>
        <w:rPr>
          <w:rFonts w:ascii="Arial" w:hAnsi="Arial" w:cs="Arial"/>
          <w:b/>
          <w:iCs/>
          <w:sz w:val="22"/>
          <w:szCs w:val="22"/>
        </w:rPr>
        <w:t xml:space="preserve">11 instructivos revisados y analizados, </w:t>
      </w:r>
      <w:r>
        <w:rPr>
          <w:rFonts w:ascii="Arial" w:hAnsi="Arial" w:cs="Arial"/>
          <w:iCs/>
          <w:sz w:val="22"/>
          <w:szCs w:val="22"/>
        </w:rPr>
        <w:t>para los que se determinó la posibilidad de reducirlos a 3, sin menoscabo de la cobertura de la totalidad de actividades que se realizan en el proceso de administrador de contrato  (100%).</w:t>
      </w:r>
    </w:p>
    <w:p w:rsidR="00F87902" w:rsidRDefault="00F87902">
      <w:pPr>
        <w:pStyle w:val="Prrafodelista"/>
        <w:rPr>
          <w:rFonts w:ascii="Arial" w:hAnsi="Arial" w:cs="Arial"/>
          <w:iCs/>
          <w:sz w:val="22"/>
          <w:szCs w:val="22"/>
        </w:rPr>
      </w:pPr>
    </w:p>
    <w:p w:rsidR="00F87902" w:rsidRDefault="00A519F9">
      <w:pPr>
        <w:numPr>
          <w:ilvl w:val="0"/>
          <w:numId w:val="12"/>
        </w:numPr>
        <w:jc w:val="both"/>
        <w:rPr>
          <w:rFonts w:ascii="Arial" w:hAnsi="Arial" w:cs="Arial"/>
          <w:iCs/>
          <w:sz w:val="22"/>
          <w:szCs w:val="22"/>
        </w:rPr>
      </w:pPr>
      <w:r>
        <w:rPr>
          <w:rFonts w:ascii="Arial" w:hAnsi="Arial" w:cs="Arial"/>
          <w:b/>
          <w:iCs/>
          <w:sz w:val="22"/>
          <w:szCs w:val="22"/>
        </w:rPr>
        <w:t>1 propuesta</w:t>
      </w:r>
      <w:r>
        <w:rPr>
          <w:rFonts w:ascii="Arial" w:hAnsi="Arial" w:cs="Arial"/>
          <w:iCs/>
          <w:sz w:val="22"/>
          <w:szCs w:val="22"/>
        </w:rPr>
        <w:t xml:space="preserve"> de mejora del proceso de adquisición de materiales para mantenimiento de infraestructura en sedes regionales (100%).</w:t>
      </w:r>
    </w:p>
    <w:p w:rsidR="00F87902" w:rsidRDefault="00F87902">
      <w:pPr>
        <w:pStyle w:val="Prrafodelista"/>
        <w:rPr>
          <w:rFonts w:ascii="Arial" w:hAnsi="Arial" w:cs="Arial"/>
          <w:iCs/>
          <w:sz w:val="22"/>
          <w:szCs w:val="22"/>
        </w:rPr>
      </w:pPr>
    </w:p>
    <w:p w:rsidR="00F87902" w:rsidRDefault="00F87902">
      <w:pPr>
        <w:pStyle w:val="Prrafodelista"/>
        <w:rPr>
          <w:rFonts w:ascii="Arial" w:hAnsi="Arial" w:cs="Arial"/>
          <w:iCs/>
          <w:sz w:val="22"/>
          <w:szCs w:val="22"/>
        </w:rPr>
      </w:pPr>
    </w:p>
    <w:p w:rsidR="00F87902" w:rsidRDefault="00A519F9">
      <w:pPr>
        <w:spacing w:line="360" w:lineRule="auto"/>
        <w:jc w:val="both"/>
        <w:rPr>
          <w:rFonts w:ascii="Arial" w:hAnsi="Arial" w:cs="Arial"/>
          <w:b/>
        </w:rPr>
      </w:pPr>
      <w:r>
        <w:rPr>
          <w:rFonts w:ascii="Arial" w:hAnsi="Arial" w:cs="Arial"/>
          <w:b/>
        </w:rPr>
        <w:t xml:space="preserve">Meta 2.2 Ejecutar 25 actividades en materia de gestión de la infraestructura institucional.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b/>
          <w:color w:val="0070C0"/>
          <w:sz w:val="22"/>
          <w:szCs w:val="22"/>
        </w:rPr>
      </w:pPr>
      <w:r>
        <w:rPr>
          <w:rFonts w:ascii="Arial" w:hAnsi="Arial" w:cs="Arial"/>
          <w:sz w:val="22"/>
          <w:szCs w:val="22"/>
        </w:rPr>
        <w:t xml:space="preserve">De las actividades ejecutadas (25) el cumplimiento de esta meta alcanza un </w:t>
      </w:r>
      <w:r>
        <w:rPr>
          <w:rFonts w:ascii="Arial" w:hAnsi="Arial" w:cs="Arial"/>
          <w:b/>
          <w:sz w:val="22"/>
          <w:szCs w:val="22"/>
        </w:rPr>
        <w:t>100%</w:t>
      </w:r>
      <w:r>
        <w:rPr>
          <w:rFonts w:ascii="Arial" w:hAnsi="Arial" w:cs="Arial"/>
          <w:sz w:val="22"/>
          <w:szCs w:val="22"/>
        </w:rPr>
        <w:t xml:space="preserve">. A continuación se ilustra el quehacer desarrollado:           </w:t>
      </w:r>
    </w:p>
    <w:p w:rsidR="00F87902" w:rsidRDefault="00F87902">
      <w:pPr>
        <w:ind w:left="708"/>
        <w:jc w:val="both"/>
        <w:rPr>
          <w:rFonts w:ascii="Arial" w:hAnsi="Arial" w:cs="Arial"/>
          <w:b/>
          <w:i/>
        </w:rPr>
      </w:pPr>
    </w:p>
    <w:p w:rsidR="00F87902" w:rsidRDefault="00A519F9">
      <w:pPr>
        <w:ind w:left="708"/>
        <w:jc w:val="both"/>
      </w:pPr>
      <w:r>
        <w:rPr>
          <w:rFonts w:ascii="Arial" w:hAnsi="Arial" w:cs="Arial"/>
          <w:b/>
          <w:i/>
        </w:rPr>
        <w:t>Programa de desarrollo y mantenimiento de infraestructura institucional (Prodemi)</w:t>
      </w:r>
    </w:p>
    <w:p w:rsidR="00F87902" w:rsidRDefault="00F87902">
      <w:pPr>
        <w:spacing w:line="360" w:lineRule="auto"/>
        <w:ind w:left="708"/>
        <w:jc w:val="both"/>
        <w:rPr>
          <w:rFonts w:ascii="Arial" w:hAnsi="Arial" w:cs="Arial"/>
          <w:b/>
          <w:i/>
        </w:rPr>
      </w:pPr>
    </w:p>
    <w:p w:rsidR="00F87902" w:rsidRDefault="00A519F9">
      <w:pPr>
        <w:numPr>
          <w:ilvl w:val="0"/>
          <w:numId w:val="12"/>
        </w:numPr>
        <w:jc w:val="both"/>
      </w:pPr>
      <w:r>
        <w:rPr>
          <w:rFonts w:ascii="Arial" w:hAnsi="Arial" w:cs="Arial"/>
          <w:b/>
          <w:sz w:val="22"/>
          <w:szCs w:val="22"/>
        </w:rPr>
        <w:t>5 sedes</w:t>
      </w:r>
      <w:r>
        <w:rPr>
          <w:rFonts w:ascii="Arial" w:hAnsi="Arial" w:cs="Arial"/>
          <w:sz w:val="22"/>
          <w:szCs w:val="22"/>
        </w:rPr>
        <w:t xml:space="preserve"> (Chorotega, Brunca, Sarapiquí, Benjamín Núñez y Ecmar) dotadas de lista de materiales y equipos necesarios para su desempeño: materiales, herramientas y equipos en bodega, e iniciadas las entregas en las sedes.</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 xml:space="preserve">8 diseños de proyectos </w:t>
      </w:r>
      <w:r>
        <w:rPr>
          <w:rFonts w:ascii="Arial" w:hAnsi="Arial" w:cs="Arial"/>
          <w:sz w:val="22"/>
          <w:szCs w:val="22"/>
        </w:rPr>
        <w:t xml:space="preserve">para su construcción y administración en el marco del PMI, remitidos a la Proveeduría Institucional y en trámite de adjudicación; por su parte, el trámite de las </w:t>
      </w:r>
      <w:r>
        <w:rPr>
          <w:rFonts w:ascii="Arial" w:hAnsi="Arial" w:cs="Arial"/>
          <w:b/>
          <w:sz w:val="22"/>
          <w:szCs w:val="22"/>
        </w:rPr>
        <w:t>11 órdenes de inicio</w:t>
      </w:r>
      <w:r>
        <w:rPr>
          <w:rFonts w:ascii="Arial" w:hAnsi="Arial" w:cs="Arial"/>
          <w:sz w:val="22"/>
          <w:szCs w:val="22"/>
        </w:rPr>
        <w:t xml:space="preserve"> se realizaría en cuanto la Proveeduría emitiera las órdenes de compra (100%).</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1 documento</w:t>
      </w:r>
      <w:r>
        <w:rPr>
          <w:rFonts w:ascii="Arial" w:hAnsi="Arial" w:cs="Arial"/>
          <w:sz w:val="22"/>
          <w:szCs w:val="22"/>
        </w:rPr>
        <w:t xml:space="preserve"> que recopila las especificaciones técnicas de equipos de aire acondicionado de alta eficiencia, como requisito de compra para los usuarios (100%).</w:t>
      </w:r>
    </w:p>
    <w:p w:rsidR="00F87902" w:rsidRDefault="00F87902">
      <w:pPr>
        <w:pStyle w:val="Prrafodelista"/>
        <w:rPr>
          <w:rFonts w:ascii="Arial" w:hAnsi="Arial" w:cs="Arial"/>
          <w:sz w:val="22"/>
          <w:szCs w:val="22"/>
        </w:rPr>
      </w:pPr>
    </w:p>
    <w:p w:rsidR="00F87902" w:rsidRDefault="00A519F9">
      <w:pPr>
        <w:pStyle w:val="Prrafodelista"/>
        <w:rPr>
          <w:rFonts w:ascii="Arial" w:hAnsi="Arial" w:cs="Arial"/>
          <w:i/>
          <w:sz w:val="22"/>
          <w:szCs w:val="22"/>
        </w:rPr>
      </w:pPr>
      <w:r>
        <w:rPr>
          <w:rFonts w:ascii="Arial" w:hAnsi="Arial" w:cs="Arial"/>
          <w:i/>
          <w:sz w:val="22"/>
          <w:szCs w:val="22"/>
        </w:rPr>
        <w:t>La baja ejecución en esta meta (70,9%) se deriva de la existencia de recursos destinados a dar mantenimiento a la infraestructura institucional tanto en el área civil como en la electromecánica, los cuales generaron compromisos por más de 740 millones de colones. Si se sumaran los recursos comprometidos la ejecución alcanzaría cerca del 96%.</w:t>
      </w:r>
    </w:p>
    <w:p w:rsidR="00F87902" w:rsidRDefault="00F87902">
      <w:pPr>
        <w:pStyle w:val="Prrafodelista"/>
        <w:rPr>
          <w:rFonts w:ascii="Arial" w:hAnsi="Arial" w:cs="Arial"/>
          <w:i/>
          <w:sz w:val="22"/>
          <w:szCs w:val="22"/>
        </w:rPr>
      </w:pPr>
    </w:p>
    <w:p w:rsidR="00F87902" w:rsidRDefault="00F87902">
      <w:pPr>
        <w:pStyle w:val="Prrafodelista"/>
        <w:rPr>
          <w:rFonts w:ascii="Arial" w:hAnsi="Arial" w:cs="Arial"/>
          <w:i/>
          <w:sz w:val="22"/>
          <w:szCs w:val="22"/>
        </w:rPr>
      </w:pPr>
    </w:p>
    <w:p w:rsidR="00F87902" w:rsidRDefault="00F87902">
      <w:pPr>
        <w:pStyle w:val="Prrafodelista"/>
        <w:rPr>
          <w:rFonts w:ascii="Arial" w:hAnsi="Arial" w:cs="Arial"/>
          <w:sz w:val="22"/>
          <w:szCs w:val="22"/>
        </w:rPr>
      </w:pPr>
    </w:p>
    <w:p w:rsidR="00F87902" w:rsidRDefault="00A519F9">
      <w:pPr>
        <w:spacing w:line="360" w:lineRule="auto"/>
        <w:jc w:val="both"/>
        <w:rPr>
          <w:rFonts w:ascii="Arial" w:hAnsi="Arial" w:cs="Arial"/>
          <w:b/>
          <w:i/>
          <w:color w:val="0070C0"/>
        </w:rPr>
      </w:pPr>
      <w:r>
        <w:rPr>
          <w:rFonts w:ascii="Arial" w:hAnsi="Arial" w:cs="Arial"/>
          <w:b/>
        </w:rPr>
        <w:lastRenderedPageBreak/>
        <w:t xml:space="preserve">Meta 2.3 Atender 68 solicitudes de servicios en el ámbito de tecnologías de información y comunicación.           </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Del desarrollo de las actividades (115) en esta meta que a continuación se describen se deriva un cumplimiento del </w:t>
      </w:r>
      <w:r>
        <w:rPr>
          <w:rFonts w:ascii="Arial" w:hAnsi="Arial" w:cs="Arial"/>
          <w:b/>
          <w:sz w:val="22"/>
          <w:szCs w:val="22"/>
        </w:rPr>
        <w:t>100%</w:t>
      </w:r>
      <w:r>
        <w:rPr>
          <w:rFonts w:ascii="Arial" w:hAnsi="Arial" w:cs="Arial"/>
          <w:sz w:val="22"/>
          <w:szCs w:val="22"/>
        </w:rPr>
        <w:t xml:space="preserve">:         </w:t>
      </w:r>
    </w:p>
    <w:p w:rsidR="00F87902" w:rsidRDefault="00F87902">
      <w:pPr>
        <w:ind w:left="708"/>
        <w:jc w:val="both"/>
        <w:rPr>
          <w:rFonts w:ascii="Arial" w:hAnsi="Arial" w:cs="Arial"/>
          <w:b/>
          <w:sz w:val="22"/>
          <w:szCs w:val="22"/>
        </w:rPr>
      </w:pPr>
    </w:p>
    <w:p w:rsidR="00F87902" w:rsidRDefault="00A519F9">
      <w:pPr>
        <w:numPr>
          <w:ilvl w:val="0"/>
          <w:numId w:val="12"/>
        </w:numPr>
        <w:jc w:val="both"/>
      </w:pPr>
      <w:r>
        <w:rPr>
          <w:rFonts w:ascii="Arial" w:hAnsi="Arial" w:cs="Arial"/>
          <w:b/>
          <w:sz w:val="22"/>
          <w:szCs w:val="22"/>
        </w:rPr>
        <w:t xml:space="preserve">38 sitios </w:t>
      </w:r>
      <w:r>
        <w:rPr>
          <w:rFonts w:ascii="Arial" w:hAnsi="Arial" w:cs="Arial"/>
          <w:b/>
          <w:i/>
          <w:sz w:val="22"/>
          <w:szCs w:val="22"/>
        </w:rPr>
        <w:t>web</w:t>
      </w:r>
      <w:r>
        <w:rPr>
          <w:rFonts w:ascii="Arial" w:hAnsi="Arial" w:cs="Arial"/>
          <w:b/>
          <w:sz w:val="22"/>
          <w:szCs w:val="22"/>
        </w:rPr>
        <w:t xml:space="preserve"> institucionales</w:t>
      </w:r>
      <w:r>
        <w:rPr>
          <w:rFonts w:ascii="Arial" w:hAnsi="Arial" w:cs="Arial"/>
          <w:sz w:val="22"/>
          <w:szCs w:val="22"/>
        </w:rPr>
        <w:t xml:space="preserve"> creados en las áreas descritas: Sistema institucional de archivo, Contraloría Universitaria, Observatorio Ambiental, Vicerrectoría de Docencia, </w:t>
      </w:r>
      <w:r w:rsidRPr="00AC6D00">
        <w:rPr>
          <w:rFonts w:ascii="Arial" w:hAnsi="Arial" w:cs="Arial"/>
          <w:i/>
          <w:sz w:val="22"/>
          <w:szCs w:val="22"/>
        </w:rPr>
        <w:t>Eduroam</w:t>
      </w:r>
      <w:r>
        <w:rPr>
          <w:rFonts w:ascii="Arial" w:hAnsi="Arial" w:cs="Arial"/>
          <w:sz w:val="22"/>
          <w:szCs w:val="22"/>
        </w:rPr>
        <w:t xml:space="preserve">, Congreso Iberoamericano de Pedagogía (CIP), Facultad de Filosofía y Letras, Programa Desarrollo de Recursos Humanos (más del 100% estimado).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5.240 correos electrónicos</w:t>
      </w:r>
      <w:r>
        <w:rPr>
          <w:rFonts w:ascii="Arial" w:hAnsi="Arial" w:cs="Arial"/>
          <w:sz w:val="22"/>
          <w:szCs w:val="22"/>
        </w:rPr>
        <w:t xml:space="preserve"> estudiantiles creados, en el espíritu de ampliación de la cobertura de servicios estudiantiles (más del 100% estimado). </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 análisis de políticas</w:t>
      </w:r>
      <w:r>
        <w:rPr>
          <w:rFonts w:ascii="Arial" w:hAnsi="Arial" w:cs="Arial"/>
          <w:sz w:val="22"/>
          <w:szCs w:val="22"/>
        </w:rPr>
        <w:t xml:space="preserve"> estratégicas institucionales: se aprobaron las políticas de calidad de software, seguridad de la red, desarrollo de </w:t>
      </w:r>
      <w:r>
        <w:rPr>
          <w:rFonts w:ascii="Arial" w:hAnsi="Arial" w:cs="Arial"/>
          <w:i/>
          <w:sz w:val="22"/>
          <w:szCs w:val="22"/>
        </w:rPr>
        <w:t>software</w:t>
      </w:r>
      <w:r>
        <w:rPr>
          <w:rFonts w:ascii="Arial" w:hAnsi="Arial" w:cs="Arial"/>
          <w:sz w:val="22"/>
          <w:szCs w:val="22"/>
        </w:rPr>
        <w:t xml:space="preserve"> por parte de instancias externas a la DTIC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42 acciones</w:t>
      </w:r>
      <w:r>
        <w:rPr>
          <w:rFonts w:ascii="Arial" w:hAnsi="Arial" w:cs="Arial"/>
          <w:sz w:val="22"/>
          <w:szCs w:val="22"/>
        </w:rPr>
        <w:t xml:space="preserve"> en el ámbito de las mejoras al sistema </w:t>
      </w:r>
      <w:r>
        <w:rPr>
          <w:rFonts w:ascii="Arial" w:hAnsi="Arial" w:cs="Arial"/>
          <w:i/>
          <w:sz w:val="22"/>
          <w:szCs w:val="22"/>
        </w:rPr>
        <w:t>Sibeuna</w:t>
      </w:r>
      <w:r>
        <w:rPr>
          <w:rFonts w:ascii="Arial" w:hAnsi="Arial" w:cs="Arial"/>
          <w:sz w:val="22"/>
          <w:szCs w:val="22"/>
        </w:rPr>
        <w:t>: cambio a nóminas de FOCP por excepción, cambio para contemplar en nómina con los TFG (trabajos finales de graduación), mantenimientos varios pequeños, reportes nuevos, mejora en proceso de giras estudiantiles, etc.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7 indicadores</w:t>
      </w:r>
      <w:r>
        <w:rPr>
          <w:rFonts w:ascii="Arial" w:hAnsi="Arial" w:cs="Arial"/>
          <w:sz w:val="22"/>
          <w:szCs w:val="22"/>
        </w:rPr>
        <w:t xml:space="preserve"> disponibles a partir del Sistema de Inteligencia de Negocios: total de funcionarios académicos, total de funcionarios administrativos, total de funcionarios por grado académico, entre otros (más del 100% estimado)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24 acciones</w:t>
      </w:r>
      <w:r>
        <w:rPr>
          <w:rFonts w:ascii="Arial" w:hAnsi="Arial" w:cs="Arial"/>
          <w:sz w:val="22"/>
          <w:szCs w:val="22"/>
        </w:rPr>
        <w:t xml:space="preserve"> en el contexto del desarrollo de módulos en </w:t>
      </w:r>
      <w:r>
        <w:rPr>
          <w:rFonts w:ascii="Arial" w:hAnsi="Arial" w:cs="Arial"/>
          <w:i/>
          <w:sz w:val="22"/>
          <w:szCs w:val="22"/>
        </w:rPr>
        <w:t>Sigesa</w:t>
      </w:r>
      <w:r>
        <w:rPr>
          <w:rFonts w:ascii="Arial" w:hAnsi="Arial" w:cs="Arial"/>
          <w:sz w:val="22"/>
          <w:szCs w:val="22"/>
        </w:rPr>
        <w:t xml:space="preserve"> que contemplan Persona general, pensiones alimentarias, vacaciones, permisos, dietas, etc. (más del 100% estimado).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54 soluciones</w:t>
      </w:r>
      <w:r>
        <w:rPr>
          <w:rFonts w:ascii="Arial" w:hAnsi="Arial" w:cs="Arial"/>
          <w:sz w:val="22"/>
          <w:szCs w:val="22"/>
        </w:rPr>
        <w:t xml:space="preserve"> de telefonía IP implementadas (sede regional Liberia, Escuela de Informática, Gimnasio de Ciencias del Movimiento Humano, Museo de Cultura Popular, Proveeduría Institucional), 100%.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 xml:space="preserve">5 instancias universitarias con </w:t>
      </w:r>
      <w:r>
        <w:rPr>
          <w:rFonts w:ascii="Arial" w:hAnsi="Arial" w:cs="Arial"/>
          <w:b/>
          <w:sz w:val="22"/>
          <w:szCs w:val="22"/>
        </w:rPr>
        <w:t>conectividad de fibra óptica</w:t>
      </w:r>
      <w:r>
        <w:rPr>
          <w:rFonts w:ascii="Arial" w:hAnsi="Arial" w:cs="Arial"/>
          <w:sz w:val="22"/>
          <w:szCs w:val="22"/>
        </w:rPr>
        <w:t xml:space="preserve">: residencias estudiantiles de Medicina Veterinaria, aula de docencia del </w:t>
      </w:r>
      <w:r>
        <w:rPr>
          <w:rFonts w:ascii="Arial" w:hAnsi="Arial" w:cs="Arial"/>
          <w:i/>
          <w:sz w:val="22"/>
          <w:szCs w:val="22"/>
        </w:rPr>
        <w:t>Cinat</w:t>
      </w:r>
      <w:r>
        <w:rPr>
          <w:rFonts w:ascii="Arial" w:hAnsi="Arial" w:cs="Arial"/>
          <w:sz w:val="22"/>
          <w:szCs w:val="22"/>
        </w:rPr>
        <w:t>, Gimnasio de la Escuela de Ciencias del Movimiento Humano, Programa UNA-Aventura, y contratación de un enlace de fibra óptica con la SPH para el Programa de Éxito Académico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6 cursos</w:t>
      </w:r>
      <w:r>
        <w:rPr>
          <w:rFonts w:ascii="Arial" w:hAnsi="Arial" w:cs="Arial"/>
          <w:sz w:val="22"/>
          <w:szCs w:val="22"/>
        </w:rPr>
        <w:t xml:space="preserve"> en </w:t>
      </w:r>
      <w:r>
        <w:rPr>
          <w:rFonts w:ascii="Arial" w:hAnsi="Arial" w:cs="Arial"/>
          <w:i/>
          <w:sz w:val="22"/>
          <w:szCs w:val="22"/>
        </w:rPr>
        <w:t>software libre</w:t>
      </w:r>
      <w:r>
        <w:rPr>
          <w:rFonts w:ascii="Arial" w:hAnsi="Arial" w:cs="Arial"/>
          <w:sz w:val="22"/>
          <w:szCs w:val="22"/>
        </w:rPr>
        <w:t xml:space="preserve"> con 97 personas capacitadas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100% de logro</w:t>
      </w:r>
      <w:r>
        <w:rPr>
          <w:rFonts w:ascii="Arial" w:hAnsi="Arial" w:cs="Arial"/>
          <w:sz w:val="22"/>
          <w:szCs w:val="22"/>
        </w:rPr>
        <w:t xml:space="preserve"> en la elaboración de diseño y especificaciones técnicas de red (alámbrica e inalámbrica) en conjunto con </w:t>
      </w:r>
      <w:r>
        <w:rPr>
          <w:rFonts w:ascii="Arial" w:hAnsi="Arial" w:cs="Arial"/>
          <w:i/>
          <w:sz w:val="22"/>
          <w:szCs w:val="22"/>
        </w:rPr>
        <w:t>Prodemi</w:t>
      </w:r>
      <w:r>
        <w:rPr>
          <w:rFonts w:ascii="Arial" w:hAnsi="Arial" w:cs="Arial"/>
          <w:sz w:val="22"/>
          <w:szCs w:val="22"/>
        </w:rPr>
        <w:t>, en el marco del proyecto PMI.</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solución de comunicación</w:t>
      </w:r>
      <w:r>
        <w:rPr>
          <w:rFonts w:ascii="Arial" w:hAnsi="Arial" w:cs="Arial"/>
          <w:sz w:val="22"/>
          <w:szCs w:val="22"/>
        </w:rPr>
        <w:t xml:space="preserve"> para transmitir las sesiones del Consejo Universitario: sistema de video conferencia y transmisión en vivo (</w:t>
      </w:r>
      <w:r>
        <w:rPr>
          <w:rFonts w:ascii="Arial" w:hAnsi="Arial" w:cs="Arial"/>
          <w:i/>
          <w:sz w:val="22"/>
          <w:szCs w:val="22"/>
        </w:rPr>
        <w:t>streaming</w:t>
      </w:r>
      <w:r>
        <w:rPr>
          <w:rFonts w:ascii="Arial" w:hAnsi="Arial" w:cs="Arial"/>
          <w:sz w:val="22"/>
          <w:szCs w:val="22"/>
        </w:rPr>
        <w:t>),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lastRenderedPageBreak/>
        <w:t>1 proyecto</w:t>
      </w:r>
      <w:r>
        <w:rPr>
          <w:rFonts w:ascii="Arial" w:hAnsi="Arial" w:cs="Arial"/>
          <w:sz w:val="22"/>
          <w:szCs w:val="22"/>
        </w:rPr>
        <w:t xml:space="preserve"> para permitir el manejo de documentos firmados digitalmente en la UNA, en coordinación  con la Sección de Documentación y Archivo (pendiente de implantación),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Documentación de requerimientos y diseño del prototipo 100% de un nuevo sistema de transporte institucional que reemplaza al existente y lo mejora significativamente; programación en proceso.</w:t>
      </w:r>
    </w:p>
    <w:p w:rsidR="00F87902" w:rsidRDefault="00F87902">
      <w:pPr>
        <w:jc w:val="both"/>
        <w:rPr>
          <w:rFonts w:ascii="Arial" w:hAnsi="Arial" w:cs="Arial"/>
        </w:rPr>
      </w:pPr>
    </w:p>
    <w:p w:rsidR="00F87902" w:rsidRDefault="00A519F9">
      <w:pPr>
        <w:pStyle w:val="Prrafodelista"/>
        <w:rPr>
          <w:rFonts w:ascii="Arial" w:hAnsi="Arial" w:cs="Arial"/>
          <w:i/>
          <w:sz w:val="22"/>
          <w:szCs w:val="22"/>
        </w:rPr>
      </w:pPr>
      <w:r>
        <w:rPr>
          <w:rFonts w:ascii="Arial" w:hAnsi="Arial" w:cs="Arial"/>
          <w:i/>
          <w:sz w:val="22"/>
          <w:szCs w:val="22"/>
        </w:rPr>
        <w:t>La baja ejecución en esta meta (72,7%) se origina en la presencia de recursos destinados a la compra y el mantenimiento del equipo informático institucional (redes, servidores, entre otros), así como al pago de licencias de software; los cuales son administrados por la Dirección de Tecnologías de Información y Comunicación. De ser adicionados sus compromisos generados por 728 millones de colones, se alcanzaría un 95% de ejecución.</w:t>
      </w:r>
    </w:p>
    <w:p w:rsidR="00F87902" w:rsidRDefault="00F87902">
      <w:pPr>
        <w:jc w:val="both"/>
        <w:rPr>
          <w:rFonts w:ascii="Arial" w:hAnsi="Arial" w:cs="Arial"/>
        </w:rPr>
      </w:pPr>
    </w:p>
    <w:p w:rsidR="006D52EA" w:rsidRDefault="006D52EA">
      <w:pPr>
        <w:jc w:val="both"/>
        <w:rPr>
          <w:rFonts w:ascii="Arial" w:hAnsi="Arial" w:cs="Arial"/>
        </w:rPr>
      </w:pPr>
    </w:p>
    <w:p w:rsidR="006D52EA" w:rsidRDefault="006D52EA">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center"/>
        <w:rPr>
          <w:rFonts w:ascii="Arial" w:hAnsi="Arial" w:cs="Arial"/>
        </w:rPr>
      </w:pPr>
      <w:r>
        <w:rPr>
          <w:rFonts w:ascii="Arial" w:hAnsi="Arial" w:cs="Arial"/>
          <w:b/>
        </w:rPr>
        <w:t>CUADRO N°17</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sz w:val="12"/>
          <w:u w:val="single"/>
        </w:rPr>
      </w:pPr>
    </w:p>
    <w:tbl>
      <w:tblPr>
        <w:tblW w:w="8720" w:type="dxa"/>
        <w:jc w:val="center"/>
        <w:tblBorders>
          <w:top w:val="single" w:sz="18" w:space="0" w:color="00000A"/>
        </w:tblBorders>
        <w:tblLook w:val="04A0"/>
      </w:tblPr>
      <w:tblGrid>
        <w:gridCol w:w="1417"/>
        <w:gridCol w:w="1337"/>
        <w:gridCol w:w="2469"/>
        <w:gridCol w:w="235"/>
        <w:gridCol w:w="1805"/>
        <w:gridCol w:w="1457"/>
      </w:tblGrid>
      <w:tr w:rsidR="00F87902">
        <w:trPr>
          <w:jc w:val="center"/>
        </w:trPr>
        <w:tc>
          <w:tcPr>
            <w:tcW w:w="1417"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06"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5" w:type="dxa"/>
            <w:tcBorders>
              <w:top w:val="single" w:sz="18" w:space="0" w:color="00000A"/>
            </w:tcBorders>
            <w:shd w:val="clear" w:color="auto" w:fill="auto"/>
          </w:tcPr>
          <w:p w:rsidR="00F87902" w:rsidRDefault="00F87902">
            <w:pPr>
              <w:jc w:val="center"/>
              <w:rPr>
                <w:rFonts w:ascii="Arial" w:hAnsi="Arial" w:cs="Arial"/>
                <w:b/>
              </w:rPr>
            </w:pPr>
          </w:p>
        </w:tc>
        <w:tc>
          <w:tcPr>
            <w:tcW w:w="3261"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17"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33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68"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5"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806"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57"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17" w:type="dxa"/>
            <w:shd w:val="clear" w:color="auto" w:fill="auto"/>
          </w:tcPr>
          <w:p w:rsidR="00F87902" w:rsidRDefault="00A519F9">
            <w:pPr>
              <w:jc w:val="center"/>
              <w:rPr>
                <w:rFonts w:ascii="Arial" w:hAnsi="Arial" w:cs="Arial"/>
                <w:b/>
                <w:sz w:val="20"/>
                <w:szCs w:val="20"/>
              </w:rPr>
            </w:pPr>
            <w:r>
              <w:rPr>
                <w:rFonts w:ascii="Arial" w:hAnsi="Arial" w:cs="Arial"/>
                <w:b/>
                <w:sz w:val="20"/>
                <w:szCs w:val="20"/>
              </w:rPr>
              <w:t>2.1</w:t>
            </w:r>
          </w:p>
        </w:tc>
        <w:tc>
          <w:tcPr>
            <w:tcW w:w="1336" w:type="dxa"/>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3.816,4</w:t>
            </w:r>
          </w:p>
        </w:tc>
        <w:tc>
          <w:tcPr>
            <w:tcW w:w="2468"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4.523,0</w:t>
            </w:r>
          </w:p>
        </w:tc>
        <w:tc>
          <w:tcPr>
            <w:tcW w:w="235" w:type="dxa"/>
            <w:shd w:val="clear" w:color="auto" w:fill="auto"/>
          </w:tcPr>
          <w:p w:rsidR="00F87902" w:rsidRDefault="00F87902">
            <w:pPr>
              <w:jc w:val="center"/>
              <w:rPr>
                <w:rFonts w:ascii="Arial" w:hAnsi="Arial" w:cs="Arial"/>
                <w:color w:val="0070C0"/>
                <w:sz w:val="20"/>
                <w:szCs w:val="20"/>
              </w:rPr>
            </w:pPr>
          </w:p>
        </w:tc>
        <w:tc>
          <w:tcPr>
            <w:tcW w:w="1806"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4.182,7</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92,5%</w:t>
            </w:r>
          </w:p>
        </w:tc>
      </w:tr>
      <w:tr w:rsidR="00F87902">
        <w:trPr>
          <w:jc w:val="center"/>
        </w:trPr>
        <w:tc>
          <w:tcPr>
            <w:tcW w:w="1417" w:type="dxa"/>
            <w:shd w:val="clear" w:color="auto" w:fill="auto"/>
          </w:tcPr>
          <w:p w:rsidR="00F87902" w:rsidRDefault="00A519F9">
            <w:pPr>
              <w:jc w:val="center"/>
              <w:rPr>
                <w:rFonts w:ascii="Arial" w:hAnsi="Arial" w:cs="Arial"/>
                <w:b/>
                <w:sz w:val="20"/>
                <w:szCs w:val="20"/>
              </w:rPr>
            </w:pPr>
            <w:r>
              <w:rPr>
                <w:rFonts w:ascii="Arial" w:hAnsi="Arial" w:cs="Arial"/>
                <w:b/>
                <w:sz w:val="20"/>
                <w:szCs w:val="20"/>
              </w:rPr>
              <w:t>2.2</w:t>
            </w:r>
          </w:p>
        </w:tc>
        <w:tc>
          <w:tcPr>
            <w:tcW w:w="1336" w:type="dxa"/>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2.801,7</w:t>
            </w:r>
          </w:p>
        </w:tc>
        <w:tc>
          <w:tcPr>
            <w:tcW w:w="2468"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3.473,4</w:t>
            </w:r>
          </w:p>
        </w:tc>
        <w:tc>
          <w:tcPr>
            <w:tcW w:w="235" w:type="dxa"/>
            <w:shd w:val="clear" w:color="auto" w:fill="auto"/>
          </w:tcPr>
          <w:p w:rsidR="00F87902" w:rsidRDefault="00F87902">
            <w:pPr>
              <w:jc w:val="center"/>
              <w:rPr>
                <w:rFonts w:ascii="Arial" w:hAnsi="Arial" w:cs="Arial"/>
                <w:color w:val="0070C0"/>
                <w:sz w:val="20"/>
                <w:szCs w:val="20"/>
              </w:rPr>
            </w:pPr>
          </w:p>
        </w:tc>
        <w:tc>
          <w:tcPr>
            <w:tcW w:w="1806"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2.461,8</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70,9%</w:t>
            </w:r>
          </w:p>
        </w:tc>
      </w:tr>
      <w:tr w:rsidR="00F87902">
        <w:trPr>
          <w:jc w:val="center"/>
        </w:trPr>
        <w:tc>
          <w:tcPr>
            <w:tcW w:w="1417" w:type="dxa"/>
            <w:shd w:val="clear" w:color="auto" w:fill="auto"/>
          </w:tcPr>
          <w:p w:rsidR="00F87902" w:rsidRDefault="00A519F9">
            <w:pPr>
              <w:jc w:val="center"/>
              <w:rPr>
                <w:rFonts w:ascii="Arial" w:hAnsi="Arial" w:cs="Arial"/>
                <w:b/>
                <w:sz w:val="20"/>
                <w:szCs w:val="20"/>
              </w:rPr>
            </w:pPr>
            <w:r>
              <w:rPr>
                <w:rFonts w:ascii="Arial" w:hAnsi="Arial" w:cs="Arial"/>
                <w:b/>
                <w:sz w:val="20"/>
                <w:szCs w:val="20"/>
              </w:rPr>
              <w:t>2.3</w:t>
            </w:r>
          </w:p>
        </w:tc>
        <w:tc>
          <w:tcPr>
            <w:tcW w:w="1336" w:type="dxa"/>
            <w:shd w:val="clear" w:color="auto" w:fill="auto"/>
            <w:vAlign w:val="bottom"/>
          </w:tcPr>
          <w:p w:rsidR="00F87902" w:rsidRDefault="00A519F9">
            <w:pPr>
              <w:ind w:left="283" w:right="170"/>
              <w:jc w:val="right"/>
              <w:rPr>
                <w:rFonts w:ascii="Arial" w:hAnsi="Arial" w:cs="Arial"/>
                <w:sz w:val="20"/>
                <w:szCs w:val="20"/>
              </w:rPr>
            </w:pPr>
            <w:r>
              <w:rPr>
                <w:rFonts w:ascii="Arial" w:hAnsi="Arial" w:cs="Arial"/>
                <w:sz w:val="20"/>
                <w:szCs w:val="20"/>
              </w:rPr>
              <w:t>2.243,7</w:t>
            </w:r>
          </w:p>
        </w:tc>
        <w:tc>
          <w:tcPr>
            <w:tcW w:w="2468" w:type="dxa"/>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3.205,2</w:t>
            </w:r>
          </w:p>
        </w:tc>
        <w:tc>
          <w:tcPr>
            <w:tcW w:w="235" w:type="dxa"/>
            <w:shd w:val="clear" w:color="auto" w:fill="auto"/>
          </w:tcPr>
          <w:p w:rsidR="00F87902" w:rsidRDefault="00F87902">
            <w:pPr>
              <w:jc w:val="center"/>
              <w:rPr>
                <w:rFonts w:ascii="Arial" w:hAnsi="Arial" w:cs="Arial"/>
                <w:color w:val="0070C0"/>
                <w:sz w:val="20"/>
                <w:szCs w:val="20"/>
              </w:rPr>
            </w:pPr>
          </w:p>
        </w:tc>
        <w:tc>
          <w:tcPr>
            <w:tcW w:w="1806"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2.331,3</w:t>
            </w:r>
          </w:p>
        </w:tc>
        <w:tc>
          <w:tcPr>
            <w:tcW w:w="1457"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72,7%</w:t>
            </w:r>
          </w:p>
        </w:tc>
      </w:tr>
      <w:tr w:rsidR="00F87902">
        <w:trPr>
          <w:jc w:val="center"/>
        </w:trPr>
        <w:tc>
          <w:tcPr>
            <w:tcW w:w="1417" w:type="dxa"/>
            <w:shd w:val="clear" w:color="auto" w:fill="auto"/>
          </w:tcPr>
          <w:p w:rsidR="00F87902" w:rsidRDefault="00F87902">
            <w:pPr>
              <w:jc w:val="center"/>
              <w:rPr>
                <w:rFonts w:ascii="Arial" w:hAnsi="Arial" w:cs="Arial"/>
                <w:b/>
                <w:sz w:val="20"/>
                <w:szCs w:val="20"/>
              </w:rPr>
            </w:pPr>
          </w:p>
        </w:tc>
        <w:tc>
          <w:tcPr>
            <w:tcW w:w="1336" w:type="dxa"/>
            <w:shd w:val="clear" w:color="auto" w:fill="auto"/>
            <w:vAlign w:val="bottom"/>
          </w:tcPr>
          <w:p w:rsidR="00F87902" w:rsidRDefault="00F87902">
            <w:pPr>
              <w:ind w:left="283" w:right="170"/>
              <w:jc w:val="right"/>
              <w:rPr>
                <w:rFonts w:ascii="Arial" w:hAnsi="Arial" w:cs="Arial"/>
                <w:sz w:val="20"/>
                <w:szCs w:val="20"/>
              </w:rPr>
            </w:pPr>
          </w:p>
        </w:tc>
        <w:tc>
          <w:tcPr>
            <w:tcW w:w="2468" w:type="dxa"/>
            <w:shd w:val="clear" w:color="auto" w:fill="auto"/>
            <w:vAlign w:val="bottom"/>
          </w:tcPr>
          <w:p w:rsidR="00F87902" w:rsidRDefault="00F87902">
            <w:pPr>
              <w:ind w:left="283" w:right="850"/>
              <w:jc w:val="right"/>
              <w:rPr>
                <w:rFonts w:ascii="Arial" w:hAnsi="Arial" w:cs="Arial"/>
                <w:sz w:val="20"/>
                <w:szCs w:val="20"/>
              </w:rPr>
            </w:pPr>
          </w:p>
        </w:tc>
        <w:tc>
          <w:tcPr>
            <w:tcW w:w="235" w:type="dxa"/>
            <w:shd w:val="clear" w:color="auto" w:fill="auto"/>
          </w:tcPr>
          <w:p w:rsidR="00F87902" w:rsidRDefault="00F87902">
            <w:pPr>
              <w:jc w:val="center"/>
              <w:rPr>
                <w:rFonts w:ascii="Arial" w:hAnsi="Arial" w:cs="Arial"/>
                <w:color w:val="0070C0"/>
                <w:sz w:val="20"/>
                <w:szCs w:val="20"/>
              </w:rPr>
            </w:pPr>
          </w:p>
        </w:tc>
        <w:tc>
          <w:tcPr>
            <w:tcW w:w="1806" w:type="dxa"/>
            <w:shd w:val="clear" w:color="auto" w:fill="auto"/>
            <w:vAlign w:val="bottom"/>
          </w:tcPr>
          <w:p w:rsidR="00F87902" w:rsidRDefault="00F87902">
            <w:pPr>
              <w:ind w:left="283" w:right="397"/>
              <w:jc w:val="right"/>
              <w:rPr>
                <w:rFonts w:ascii="Arial" w:hAnsi="Arial" w:cs="Arial"/>
                <w:sz w:val="20"/>
                <w:szCs w:val="20"/>
              </w:rPr>
            </w:pPr>
          </w:p>
        </w:tc>
        <w:tc>
          <w:tcPr>
            <w:tcW w:w="1457" w:type="dxa"/>
            <w:shd w:val="clear" w:color="auto" w:fill="auto"/>
            <w:vAlign w:val="bottom"/>
          </w:tcPr>
          <w:p w:rsidR="00F87902" w:rsidRDefault="00F87902">
            <w:pPr>
              <w:ind w:left="283" w:right="340"/>
              <w:jc w:val="right"/>
              <w:rPr>
                <w:rFonts w:ascii="Arial" w:hAnsi="Arial" w:cs="Arial"/>
                <w:sz w:val="20"/>
                <w:szCs w:val="20"/>
              </w:rPr>
            </w:pPr>
          </w:p>
        </w:tc>
      </w:tr>
      <w:tr w:rsidR="00F87902">
        <w:trPr>
          <w:trHeight w:val="80"/>
          <w:jc w:val="center"/>
        </w:trPr>
        <w:tc>
          <w:tcPr>
            <w:tcW w:w="1417"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2</w:t>
            </w:r>
          </w:p>
        </w:tc>
        <w:tc>
          <w:tcPr>
            <w:tcW w:w="1336" w:type="dxa"/>
            <w:tcBorders>
              <w:top w:val="single" w:sz="18" w:space="0" w:color="00000A"/>
              <w:bottom w:val="single" w:sz="18" w:space="0" w:color="00000A"/>
            </w:tcBorders>
            <w:shd w:val="clear" w:color="auto" w:fill="auto"/>
          </w:tcPr>
          <w:p w:rsidR="00F87902" w:rsidRDefault="00A519F9">
            <w:pPr>
              <w:ind w:left="283" w:right="170"/>
              <w:jc w:val="right"/>
              <w:rPr>
                <w:rFonts w:ascii="Arial" w:hAnsi="Arial" w:cs="Arial"/>
                <w:b/>
                <w:sz w:val="20"/>
                <w:szCs w:val="20"/>
              </w:rPr>
            </w:pPr>
            <w:r>
              <w:rPr>
                <w:rFonts w:ascii="Arial" w:hAnsi="Arial" w:cs="Arial"/>
                <w:b/>
                <w:sz w:val="20"/>
                <w:szCs w:val="20"/>
              </w:rPr>
              <w:t>8.861,8</w:t>
            </w:r>
          </w:p>
        </w:tc>
        <w:tc>
          <w:tcPr>
            <w:tcW w:w="2468" w:type="dxa"/>
            <w:tcBorders>
              <w:top w:val="single" w:sz="18" w:space="0" w:color="00000A"/>
              <w:bottom w:val="single" w:sz="18" w:space="0" w:color="00000A"/>
            </w:tcBorders>
            <w:shd w:val="clear" w:color="auto" w:fill="auto"/>
          </w:tcPr>
          <w:p w:rsidR="00F87902" w:rsidRDefault="00A519F9">
            <w:pPr>
              <w:ind w:left="283" w:right="850"/>
              <w:jc w:val="right"/>
              <w:rPr>
                <w:rFonts w:ascii="Arial" w:hAnsi="Arial" w:cs="Arial"/>
                <w:b/>
                <w:sz w:val="20"/>
                <w:szCs w:val="20"/>
              </w:rPr>
            </w:pPr>
            <w:r>
              <w:rPr>
                <w:rFonts w:ascii="Arial" w:hAnsi="Arial" w:cs="Arial"/>
                <w:b/>
                <w:sz w:val="20"/>
                <w:szCs w:val="20"/>
              </w:rPr>
              <w:t>11.201,6</w:t>
            </w:r>
          </w:p>
        </w:tc>
        <w:tc>
          <w:tcPr>
            <w:tcW w:w="235"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806" w:type="dxa"/>
            <w:tcBorders>
              <w:top w:val="single" w:sz="18" w:space="0" w:color="00000A"/>
              <w:bottom w:val="single" w:sz="18" w:space="0" w:color="00000A"/>
            </w:tcBorders>
            <w:shd w:val="clear" w:color="auto" w:fill="auto"/>
          </w:tcPr>
          <w:p w:rsidR="00F87902" w:rsidRDefault="00A519F9">
            <w:pPr>
              <w:ind w:left="283" w:right="397"/>
              <w:jc w:val="right"/>
              <w:rPr>
                <w:rFonts w:ascii="Arial" w:hAnsi="Arial" w:cs="Arial"/>
                <w:b/>
                <w:sz w:val="20"/>
                <w:szCs w:val="20"/>
              </w:rPr>
            </w:pPr>
            <w:r>
              <w:rPr>
                <w:rFonts w:ascii="Arial" w:hAnsi="Arial" w:cs="Arial"/>
                <w:b/>
                <w:sz w:val="20"/>
                <w:szCs w:val="20"/>
              </w:rPr>
              <w:t>8.975,8</w:t>
            </w:r>
          </w:p>
        </w:tc>
        <w:tc>
          <w:tcPr>
            <w:tcW w:w="1457" w:type="dxa"/>
            <w:tcBorders>
              <w:top w:val="single" w:sz="18" w:space="0" w:color="00000A"/>
              <w:bottom w:val="single" w:sz="18" w:space="0" w:color="00000A"/>
            </w:tcBorders>
            <w:shd w:val="clear" w:color="auto" w:fill="auto"/>
          </w:tcPr>
          <w:p w:rsidR="00F87902" w:rsidRDefault="00A519F9">
            <w:pPr>
              <w:ind w:left="283" w:right="340"/>
              <w:jc w:val="right"/>
              <w:rPr>
                <w:rFonts w:ascii="Arial" w:hAnsi="Arial" w:cs="Arial"/>
                <w:b/>
                <w:sz w:val="20"/>
                <w:szCs w:val="20"/>
              </w:rPr>
            </w:pPr>
            <w:r>
              <w:rPr>
                <w:rFonts w:ascii="Arial" w:hAnsi="Arial" w:cs="Arial"/>
                <w:b/>
                <w:sz w:val="20"/>
                <w:szCs w:val="20"/>
              </w:rPr>
              <w:t>80,1%</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jc w:val="both"/>
        <w:rPr>
          <w:rFonts w:ascii="Arial" w:hAnsi="Arial" w:cs="Arial"/>
          <w:b/>
        </w:rPr>
      </w:pPr>
    </w:p>
    <w:p w:rsidR="00F87902" w:rsidRDefault="00F87902">
      <w:pPr>
        <w:spacing w:line="360" w:lineRule="auto"/>
        <w:jc w:val="both"/>
        <w:rPr>
          <w:rFonts w:ascii="Arial" w:hAnsi="Arial" w:cs="Arial"/>
          <w:b/>
        </w:rPr>
      </w:pPr>
    </w:p>
    <w:p w:rsidR="00F87902" w:rsidRDefault="00A519F9">
      <w:pPr>
        <w:spacing w:line="360" w:lineRule="auto"/>
        <w:jc w:val="both"/>
        <w:rPr>
          <w:rFonts w:ascii="Arial" w:hAnsi="Arial" w:cs="Arial"/>
          <w:b/>
        </w:rPr>
      </w:pPr>
      <w:r>
        <w:rPr>
          <w:rFonts w:ascii="Arial" w:hAnsi="Arial" w:cs="Arial"/>
          <w:b/>
        </w:rPr>
        <w:t>Objetivo 3. Desarrollar una estrategia institucional para la planificación del talento humano y el fomento de competencias que propicien la estabilidad laboral en el ámbito administrativo y paraacadémico.</w:t>
      </w:r>
    </w:p>
    <w:p w:rsidR="00F87902" w:rsidRDefault="00F87902">
      <w:pPr>
        <w:spacing w:line="360" w:lineRule="auto"/>
        <w:jc w:val="both"/>
        <w:rPr>
          <w:rFonts w:ascii="Arial" w:hAnsi="Arial" w:cs="Arial"/>
          <w:b/>
        </w:rPr>
      </w:pPr>
    </w:p>
    <w:p w:rsidR="00F87902" w:rsidRDefault="00A519F9">
      <w:pPr>
        <w:spacing w:line="360" w:lineRule="auto"/>
        <w:ind w:left="708"/>
        <w:jc w:val="both"/>
      </w:pPr>
      <w:r>
        <w:rPr>
          <w:rFonts w:ascii="Arial" w:hAnsi="Arial" w:cs="Arial"/>
          <w:b/>
        </w:rPr>
        <w:lastRenderedPageBreak/>
        <w:t xml:space="preserve">Meta 3.1  Ejecutar 59 actividades del Programa Desarrollo de Recursos Humanos que propicien la gestión eficiente del talento humano en los sectores administrativo y paraacadémico. </w:t>
      </w:r>
    </w:p>
    <w:p w:rsidR="00F87902" w:rsidRDefault="00A519F9">
      <w:pPr>
        <w:ind w:left="708"/>
        <w:jc w:val="both"/>
      </w:pPr>
      <w:r>
        <w:rPr>
          <w:rFonts w:ascii="Arial" w:hAnsi="Arial" w:cs="Arial"/>
          <w:sz w:val="22"/>
          <w:szCs w:val="22"/>
        </w:rPr>
        <w:t xml:space="preserve">De la ejecución de las actividades (48) que a continuación se describen se deriva un cumplimiento cercano al </w:t>
      </w:r>
      <w:r>
        <w:rPr>
          <w:rFonts w:ascii="Arial" w:hAnsi="Arial" w:cs="Arial"/>
          <w:b/>
          <w:sz w:val="22"/>
          <w:szCs w:val="22"/>
        </w:rPr>
        <w:t>81%</w:t>
      </w:r>
      <w:r>
        <w:rPr>
          <w:rFonts w:ascii="Arial" w:hAnsi="Arial" w:cs="Arial"/>
          <w:sz w:val="22"/>
          <w:szCs w:val="22"/>
        </w:rPr>
        <w:t xml:space="preserve">:        </w:t>
      </w:r>
    </w:p>
    <w:p w:rsidR="00F87902" w:rsidRDefault="00F87902">
      <w:pPr>
        <w:ind w:left="708"/>
        <w:jc w:val="both"/>
        <w:rPr>
          <w:rFonts w:ascii="Arial" w:hAnsi="Arial" w:cs="Arial"/>
        </w:rPr>
      </w:pPr>
    </w:p>
    <w:p w:rsidR="00F87902" w:rsidRDefault="00A519F9">
      <w:pPr>
        <w:numPr>
          <w:ilvl w:val="0"/>
          <w:numId w:val="12"/>
        </w:numPr>
        <w:jc w:val="both"/>
      </w:pPr>
      <w:r>
        <w:rPr>
          <w:rFonts w:ascii="Arial" w:hAnsi="Arial" w:cs="Arial"/>
          <w:b/>
          <w:sz w:val="22"/>
          <w:szCs w:val="22"/>
        </w:rPr>
        <w:t>50% de logro</w:t>
      </w:r>
      <w:r>
        <w:rPr>
          <w:rFonts w:ascii="Arial" w:hAnsi="Arial" w:cs="Arial"/>
          <w:sz w:val="22"/>
          <w:szCs w:val="22"/>
        </w:rPr>
        <w:t xml:space="preserve"> en la implementación de la modificación del Artículo 37 de la IV Convención Colectiva (100%).  </w:t>
      </w:r>
    </w:p>
    <w:p w:rsidR="00F87902" w:rsidRDefault="00F87902">
      <w:pPr>
        <w:ind w:left="708"/>
        <w:jc w:val="both"/>
        <w:rPr>
          <w:rFonts w:ascii="Arial" w:hAnsi="Arial" w:cs="Arial"/>
        </w:rPr>
      </w:pPr>
    </w:p>
    <w:p w:rsidR="00F87902" w:rsidRDefault="00A519F9">
      <w:pPr>
        <w:numPr>
          <w:ilvl w:val="0"/>
          <w:numId w:val="12"/>
        </w:numPr>
        <w:jc w:val="both"/>
        <w:rPr>
          <w:rFonts w:ascii="Arial" w:hAnsi="Arial" w:cs="Arial"/>
          <w:sz w:val="22"/>
          <w:szCs w:val="22"/>
        </w:rPr>
      </w:pPr>
      <w:r>
        <w:rPr>
          <w:rFonts w:ascii="Arial" w:hAnsi="Arial" w:cs="Arial"/>
          <w:b/>
          <w:sz w:val="22"/>
          <w:szCs w:val="22"/>
        </w:rPr>
        <w:t>50% de logro</w:t>
      </w:r>
      <w:r>
        <w:rPr>
          <w:rFonts w:ascii="Arial" w:hAnsi="Arial" w:cs="Arial"/>
          <w:sz w:val="22"/>
          <w:szCs w:val="22"/>
        </w:rPr>
        <w:t xml:space="preserve"> en la uniformidad de los 5 procedimientos asociados al macroproceso de servicios secretariales. </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1 informe</w:t>
      </w:r>
      <w:r>
        <w:rPr>
          <w:rFonts w:ascii="Arial" w:hAnsi="Arial" w:cs="Arial"/>
          <w:sz w:val="22"/>
          <w:szCs w:val="22"/>
        </w:rPr>
        <w:t xml:space="preserve"> del proceso de implementación en </w:t>
      </w:r>
      <w:r>
        <w:rPr>
          <w:rFonts w:ascii="Arial" w:hAnsi="Arial" w:cs="Arial"/>
          <w:i/>
          <w:sz w:val="22"/>
          <w:szCs w:val="22"/>
        </w:rPr>
        <w:t>Prodemi</w:t>
      </w:r>
      <w:r>
        <w:rPr>
          <w:rFonts w:ascii="Arial" w:hAnsi="Arial" w:cs="Arial"/>
          <w:sz w:val="22"/>
          <w:szCs w:val="22"/>
        </w:rPr>
        <w:t xml:space="preserve"> y Programa de Servicios Generales, respecto del cual se implementaron las recomendaciones (100%).</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 xml:space="preserve">1 informe </w:t>
      </w:r>
      <w:r>
        <w:rPr>
          <w:rFonts w:ascii="Arial" w:hAnsi="Arial" w:cs="Arial"/>
          <w:sz w:val="22"/>
          <w:szCs w:val="22"/>
        </w:rPr>
        <w:t>del proceso de reestructuración de OTVVE y OCTI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50% de logro</w:t>
      </w:r>
      <w:r>
        <w:rPr>
          <w:rFonts w:ascii="Arial" w:hAnsi="Arial" w:cs="Arial"/>
          <w:sz w:val="22"/>
          <w:szCs w:val="22"/>
        </w:rPr>
        <w:t xml:space="preserve"> en la implementación del plan de reclutamiento en la sede regional Brunca y en la sede regional Chorotega: I Feria de Empleo en la sede regional Chorotega, la correspondiente a la Brunca se traslada para el siguiente año.</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30% de logro</w:t>
      </w:r>
      <w:r>
        <w:rPr>
          <w:rFonts w:ascii="Arial" w:hAnsi="Arial" w:cs="Arial"/>
          <w:sz w:val="22"/>
          <w:szCs w:val="22"/>
        </w:rPr>
        <w:t xml:space="preserve"> en la implementación de un plan de salud laboral en el campus Coto: reuniones de coordinación, capacitación sobre gestión de riesgos laborales, entrega de equipo, etcétera.</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100% en la actualización</w:t>
      </w:r>
      <w:r>
        <w:rPr>
          <w:rFonts w:ascii="Arial" w:hAnsi="Arial" w:cs="Arial"/>
          <w:sz w:val="22"/>
          <w:szCs w:val="22"/>
        </w:rPr>
        <w:t xml:space="preserve"> de la propuesta de los planes de salud ocupacional.</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propuesta</w:t>
      </w:r>
      <w:r>
        <w:rPr>
          <w:rFonts w:ascii="Arial" w:hAnsi="Arial" w:cs="Arial"/>
          <w:sz w:val="22"/>
          <w:szCs w:val="22"/>
        </w:rPr>
        <w:t xml:space="preserve"> de plan de salud laboral en la sede regional Chorotega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66% de logro</w:t>
      </w:r>
      <w:r>
        <w:rPr>
          <w:rFonts w:ascii="Arial" w:hAnsi="Arial" w:cs="Arial"/>
          <w:sz w:val="22"/>
          <w:szCs w:val="22"/>
        </w:rPr>
        <w:t xml:space="preserve"> (394) en la valoración del desempeño en 600 funcionarios administrativos de todos los estratos de la estructura ocupacional: construcción de ítems e instrumentos para la aplicación de la valoración, se definen las instancias, y se realizan las coordinaciones correspondientes.</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plan de inducción</w:t>
      </w:r>
      <w:r>
        <w:rPr>
          <w:rFonts w:ascii="Arial" w:hAnsi="Arial" w:cs="Arial"/>
          <w:sz w:val="22"/>
          <w:szCs w:val="22"/>
        </w:rPr>
        <w:t xml:space="preserve"> revisado en su contenido, y actualizados los documentos de apoyo: construcción de carpetas con presentaciones sobre las temáticas que se han venido desarrollando, también se revisaron contra el Estatuto Orgánico aprobado en el anterior congreso universitario; lo de la reglamentación sujeto de revisión se está dejando como referencia  en tanto se completa el trabajo de las comisiones (100%).</w:t>
      </w:r>
    </w:p>
    <w:p w:rsidR="00F87902" w:rsidRDefault="00F87902">
      <w:pPr>
        <w:pStyle w:val="Prrafodelista"/>
        <w:rPr>
          <w:rFonts w:ascii="Arial" w:hAnsi="Arial" w:cs="Arial"/>
          <w:b/>
          <w:i/>
          <w:color w:val="E36C0A" w:themeColor="accent6" w:themeShade="BF"/>
          <w:sz w:val="22"/>
          <w:szCs w:val="22"/>
        </w:rPr>
      </w:pPr>
    </w:p>
    <w:p w:rsidR="00F87902" w:rsidRPr="006D52EA" w:rsidRDefault="00A519F9">
      <w:pPr>
        <w:numPr>
          <w:ilvl w:val="0"/>
          <w:numId w:val="12"/>
        </w:numPr>
        <w:jc w:val="both"/>
      </w:pPr>
      <w:r>
        <w:rPr>
          <w:rFonts w:ascii="Arial" w:hAnsi="Arial" w:cs="Arial"/>
          <w:b/>
          <w:sz w:val="22"/>
          <w:szCs w:val="22"/>
        </w:rPr>
        <w:t>1 plan de reinducción</w:t>
      </w:r>
      <w:r>
        <w:rPr>
          <w:rFonts w:ascii="Arial" w:hAnsi="Arial" w:cs="Arial"/>
          <w:sz w:val="22"/>
          <w:szCs w:val="22"/>
        </w:rPr>
        <w:t xml:space="preserve"> revisado y actualizados los documentos de apoyo (100%).</w:t>
      </w:r>
    </w:p>
    <w:p w:rsidR="006D52EA" w:rsidRDefault="006D52EA" w:rsidP="006D52EA">
      <w:pPr>
        <w:pStyle w:val="Prrafodelista"/>
      </w:pPr>
    </w:p>
    <w:p w:rsidR="00F87902" w:rsidRDefault="00A519F9">
      <w:pPr>
        <w:numPr>
          <w:ilvl w:val="0"/>
          <w:numId w:val="12"/>
        </w:numPr>
        <w:jc w:val="both"/>
      </w:pPr>
      <w:r>
        <w:rPr>
          <w:rFonts w:ascii="Arial" w:hAnsi="Arial" w:cs="Arial"/>
          <w:b/>
          <w:sz w:val="22"/>
          <w:szCs w:val="22"/>
        </w:rPr>
        <w:t xml:space="preserve">6 personas </w:t>
      </w:r>
      <w:r>
        <w:rPr>
          <w:rFonts w:ascii="Arial" w:hAnsi="Arial" w:cs="Arial"/>
          <w:sz w:val="22"/>
          <w:szCs w:val="22"/>
        </w:rPr>
        <w:t>del equipo de formación y actualización del talento humano capacitadas en áreas pedagógicas (100%).</w:t>
      </w:r>
    </w:p>
    <w:p w:rsidR="00F87902" w:rsidRDefault="00F87902">
      <w:pPr>
        <w:ind w:left="1068"/>
        <w:jc w:val="both"/>
        <w:rPr>
          <w:rFonts w:ascii="Arial" w:hAnsi="Arial" w:cs="Arial"/>
          <w:sz w:val="22"/>
          <w:szCs w:val="22"/>
        </w:rPr>
      </w:pPr>
    </w:p>
    <w:p w:rsidR="00F87902" w:rsidRDefault="00A519F9">
      <w:pPr>
        <w:numPr>
          <w:ilvl w:val="0"/>
          <w:numId w:val="12"/>
        </w:numPr>
        <w:jc w:val="both"/>
      </w:pPr>
      <w:r>
        <w:rPr>
          <w:rFonts w:ascii="Arial" w:hAnsi="Arial" w:cs="Arial"/>
          <w:b/>
          <w:sz w:val="22"/>
          <w:szCs w:val="22"/>
        </w:rPr>
        <w:t>50% de logro</w:t>
      </w:r>
      <w:r>
        <w:rPr>
          <w:rFonts w:ascii="Arial" w:hAnsi="Arial" w:cs="Arial"/>
          <w:sz w:val="22"/>
          <w:szCs w:val="22"/>
        </w:rPr>
        <w:t xml:space="preserve"> en la incorporación de la virtualidad en uno de los planes (inducción y reinducción): aunque se recopiló la información  para virtualizar los planes, debido a los ajustes producto del Estatuto Orgánico, se traslada para el siguiente año, cuando la normativa y las instancias queden ajustadas.</w:t>
      </w:r>
    </w:p>
    <w:p w:rsidR="00F87902" w:rsidRDefault="00A519F9">
      <w:pPr>
        <w:numPr>
          <w:ilvl w:val="0"/>
          <w:numId w:val="12"/>
        </w:numPr>
        <w:jc w:val="both"/>
      </w:pPr>
      <w:r>
        <w:rPr>
          <w:rFonts w:ascii="Arial" w:hAnsi="Arial" w:cs="Arial"/>
          <w:b/>
          <w:sz w:val="22"/>
          <w:szCs w:val="22"/>
        </w:rPr>
        <w:lastRenderedPageBreak/>
        <w:t>1 plan de desarrollo</w:t>
      </w:r>
      <w:r>
        <w:rPr>
          <w:rFonts w:ascii="Arial" w:hAnsi="Arial" w:cs="Arial"/>
          <w:sz w:val="22"/>
          <w:szCs w:val="22"/>
        </w:rPr>
        <w:t xml:space="preserve"> por funcionario en rango de fortaleza y mejora según los resultados de valoración del desempeño del año anterior: gestiones para contratación incluidas, y envío de solicitud a la Vicerrectoría de Administración de apoyo de presupuesto adicional (100%).</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b/>
          <w:sz w:val="22"/>
          <w:szCs w:val="22"/>
        </w:rPr>
        <w:t>1 plan de capacitación</w:t>
      </w:r>
      <w:r>
        <w:rPr>
          <w:rFonts w:ascii="Arial" w:hAnsi="Arial" w:cs="Arial"/>
          <w:sz w:val="22"/>
          <w:szCs w:val="22"/>
        </w:rPr>
        <w:t xml:space="preserve"> acorde con las necesidades del Plan de Mejoramiento Institucional: se está actualizando dada la necesidad de atención según prioridades en el procedimiento de capacitación y desarrollo, así como las áreas de desarrollo.</w:t>
      </w:r>
    </w:p>
    <w:p w:rsidR="00F87902" w:rsidRDefault="00F87902">
      <w:pPr>
        <w:pStyle w:val="Prrafodelista"/>
        <w:rPr>
          <w:rFonts w:ascii="Arial" w:hAnsi="Arial" w:cs="Arial"/>
          <w:b/>
          <w:i/>
          <w:color w:val="E36C0A" w:themeColor="accent6" w:themeShade="BF"/>
          <w:sz w:val="22"/>
          <w:szCs w:val="22"/>
        </w:rPr>
      </w:pPr>
    </w:p>
    <w:p w:rsidR="00F87902" w:rsidRDefault="00A519F9">
      <w:pPr>
        <w:numPr>
          <w:ilvl w:val="0"/>
          <w:numId w:val="12"/>
        </w:numPr>
        <w:jc w:val="both"/>
      </w:pPr>
      <w:r>
        <w:rPr>
          <w:rFonts w:ascii="Arial" w:hAnsi="Arial" w:cs="Arial"/>
          <w:b/>
          <w:sz w:val="22"/>
          <w:szCs w:val="22"/>
        </w:rPr>
        <w:t>4 cursos</w:t>
      </w:r>
      <w:r>
        <w:rPr>
          <w:rFonts w:ascii="Arial" w:hAnsi="Arial" w:cs="Arial"/>
          <w:sz w:val="22"/>
          <w:szCs w:val="22"/>
        </w:rPr>
        <w:t xml:space="preserve"> de capacitación  en los que se incorpora el apoyo virtual (80%).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propuesta</w:t>
      </w:r>
      <w:r>
        <w:rPr>
          <w:rFonts w:ascii="Arial" w:hAnsi="Arial" w:cs="Arial"/>
          <w:sz w:val="22"/>
          <w:szCs w:val="22"/>
        </w:rPr>
        <w:t xml:space="preserve"> de ajuste de la estructura ocupacional administrativa ocupacional administrativa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5 puestos de trabajo</w:t>
      </w:r>
      <w:r>
        <w:rPr>
          <w:rFonts w:ascii="Arial" w:hAnsi="Arial" w:cs="Arial"/>
          <w:sz w:val="22"/>
          <w:szCs w:val="22"/>
        </w:rPr>
        <w:t xml:space="preserve"> con la definición del equipo de protección personal definidos: topógrafos, arquitectos, personal de redes, ingenieros civiles, ingenieros electromecánicos, en atención a requerimientos del PMI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3 perfiles de riesgos específicos</w:t>
      </w:r>
      <w:r>
        <w:rPr>
          <w:rFonts w:ascii="Arial" w:hAnsi="Arial" w:cs="Arial"/>
          <w:sz w:val="22"/>
          <w:szCs w:val="22"/>
        </w:rPr>
        <w:t xml:space="preserve"> según los perfiles de cargo establecidos, para el puesto de Técnico Analista en servicios de publicaciones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panfleto</w:t>
      </w:r>
      <w:r>
        <w:rPr>
          <w:rFonts w:ascii="Arial" w:hAnsi="Arial" w:cs="Arial"/>
          <w:sz w:val="22"/>
          <w:szCs w:val="22"/>
        </w:rPr>
        <w:t xml:space="preserve"> para divulgar aspectos sobre el abordaje de factores psicosociales: manejo psicofisiológico del estrés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plan</w:t>
      </w:r>
      <w:r>
        <w:rPr>
          <w:rFonts w:ascii="Arial" w:hAnsi="Arial" w:cs="Arial"/>
          <w:sz w:val="22"/>
          <w:szCs w:val="22"/>
        </w:rPr>
        <w:t xml:space="preserve"> de fortalecimiento administrativo elaborado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 propuesta de abordaje de clima laboral actualizada</w:t>
      </w:r>
      <w:r>
        <w:rPr>
          <w:rFonts w:ascii="Arial" w:hAnsi="Arial" w:cs="Arial"/>
          <w:sz w:val="22"/>
          <w:szCs w:val="22"/>
        </w:rPr>
        <w:t>, además de dividir en vista de la complejidad asociada en cuatro grupos la atención de los 13 centros de trabajo que comprenden el plan piloto para la atención de clima organizacional (100%).</w:t>
      </w:r>
    </w:p>
    <w:p w:rsidR="00F87902" w:rsidRDefault="00F87902">
      <w:pPr>
        <w:pStyle w:val="Prrafodelista"/>
        <w:rPr>
          <w:rFonts w:ascii="Arial" w:hAnsi="Arial" w:cs="Arial"/>
          <w:sz w:val="22"/>
          <w:szCs w:val="22"/>
        </w:rPr>
      </w:pPr>
    </w:p>
    <w:p w:rsidR="00F87902" w:rsidRDefault="00A519F9">
      <w:pPr>
        <w:numPr>
          <w:ilvl w:val="0"/>
          <w:numId w:val="12"/>
        </w:numPr>
        <w:jc w:val="both"/>
      </w:pPr>
      <w:r>
        <w:rPr>
          <w:rFonts w:ascii="Arial" w:hAnsi="Arial" w:cs="Arial"/>
          <w:b/>
          <w:sz w:val="22"/>
          <w:szCs w:val="22"/>
        </w:rPr>
        <w:t>10 talleres</w:t>
      </w:r>
      <w:r>
        <w:rPr>
          <w:rFonts w:ascii="Arial" w:hAnsi="Arial" w:cs="Arial"/>
          <w:sz w:val="22"/>
          <w:szCs w:val="22"/>
        </w:rPr>
        <w:t xml:space="preserve"> de mejora en 4 centros de trabajo evaluados en clima organizacional (36%).     </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Uniforme de los procedimientos asociados con el macroproceso de servicios secretariales: análisis de los insumos y elaboración de los procedimientos e instructivos de trabajo.</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Implementación de un plan de reclutamiento en las sedes regionales Brunca y Chorotega.</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16 grupos de capacitación ofrecidos, en materia de competencias institucionales.</w:t>
      </w:r>
    </w:p>
    <w:p w:rsidR="00F87902" w:rsidRDefault="00F87902">
      <w:pPr>
        <w:pStyle w:val="Prrafodelista"/>
        <w:rPr>
          <w:rFonts w:ascii="Arial" w:hAnsi="Arial" w:cs="Arial"/>
          <w:sz w:val="22"/>
          <w:szCs w:val="22"/>
        </w:rPr>
      </w:pPr>
    </w:p>
    <w:p w:rsidR="00F87902" w:rsidRDefault="00A519F9">
      <w:pPr>
        <w:numPr>
          <w:ilvl w:val="0"/>
          <w:numId w:val="12"/>
        </w:numPr>
        <w:jc w:val="both"/>
        <w:rPr>
          <w:rFonts w:ascii="Arial" w:hAnsi="Arial" w:cs="Arial"/>
          <w:sz w:val="22"/>
          <w:szCs w:val="22"/>
        </w:rPr>
      </w:pPr>
      <w:r>
        <w:rPr>
          <w:rFonts w:ascii="Arial" w:hAnsi="Arial" w:cs="Arial"/>
          <w:sz w:val="22"/>
          <w:szCs w:val="22"/>
        </w:rPr>
        <w:t>1 protocolo de atención para personas con discapacidad que participen en el proceso de contratación laboral.</w:t>
      </w:r>
    </w:p>
    <w:p w:rsidR="00F87902" w:rsidRDefault="00F87902">
      <w:pPr>
        <w:pStyle w:val="Prrafodelista"/>
        <w:rPr>
          <w:rFonts w:ascii="Arial" w:hAnsi="Arial" w:cs="Arial"/>
          <w:b/>
          <w:i/>
          <w:sz w:val="22"/>
          <w:szCs w:val="22"/>
        </w:rPr>
      </w:pPr>
    </w:p>
    <w:p w:rsidR="00F87902" w:rsidRDefault="00F87902">
      <w:pPr>
        <w:pStyle w:val="Prrafodelista"/>
        <w:rPr>
          <w:rFonts w:ascii="Arial" w:hAnsi="Arial" w:cs="Arial"/>
          <w:b/>
          <w:i/>
          <w:sz w:val="22"/>
          <w:szCs w:val="22"/>
        </w:rPr>
      </w:pPr>
    </w:p>
    <w:p w:rsidR="00F87902" w:rsidRDefault="00A519F9">
      <w:pPr>
        <w:pStyle w:val="Prrafodelista"/>
        <w:rPr>
          <w:rFonts w:ascii="Arial" w:hAnsi="Arial" w:cs="Arial"/>
          <w:i/>
          <w:sz w:val="22"/>
          <w:szCs w:val="22"/>
        </w:rPr>
      </w:pPr>
      <w:r>
        <w:rPr>
          <w:rFonts w:ascii="Arial" w:hAnsi="Arial" w:cs="Arial"/>
          <w:i/>
          <w:sz w:val="22"/>
          <w:szCs w:val="22"/>
        </w:rPr>
        <w:t>La baja ejecución de los recursos asociados con esta meta (79,2%) se origina en la presencia de recursos destinados a la atención de necesidades institucionales que generaron compromisos por ejecutar durante el 2016. Tal es el caso de las actividades de capacitación y adiestramiento con 73 millones de colones comprometidos, y 185 millones encompromisos de los reservados para seguridad e higiene ocupaciones; los cuales, de adicionarse a la ejecución que se muestra, hacen que esta ascienda al 93%.</w:t>
      </w:r>
    </w:p>
    <w:p w:rsidR="00F87902" w:rsidRDefault="00A519F9">
      <w:pPr>
        <w:pStyle w:val="Prrafodelista"/>
        <w:rPr>
          <w:rFonts w:ascii="Arial" w:hAnsi="Arial" w:cs="Arial"/>
          <w:i/>
          <w:sz w:val="22"/>
          <w:szCs w:val="22"/>
        </w:rPr>
      </w:pPr>
      <w:r>
        <w:rPr>
          <w:rFonts w:ascii="Arial" w:hAnsi="Arial" w:cs="Arial"/>
          <w:i/>
          <w:sz w:val="22"/>
          <w:szCs w:val="22"/>
        </w:rPr>
        <w:lastRenderedPageBreak/>
        <w:t>.</w:t>
      </w:r>
    </w:p>
    <w:p w:rsidR="00F87902" w:rsidRDefault="00F87902">
      <w:pPr>
        <w:pStyle w:val="Prrafodelista"/>
        <w:rPr>
          <w:rFonts w:ascii="Arial" w:hAnsi="Arial" w:cs="Arial"/>
          <w:b/>
          <w:i/>
          <w:sz w:val="22"/>
          <w:szCs w:val="22"/>
        </w:rPr>
      </w:pPr>
    </w:p>
    <w:p w:rsidR="00F87902" w:rsidRDefault="00F87902">
      <w:pPr>
        <w:pStyle w:val="Prrafodelista"/>
        <w:rPr>
          <w:rFonts w:ascii="Arial" w:hAnsi="Arial" w:cs="Arial"/>
          <w:b/>
          <w:i/>
          <w:sz w:val="22"/>
          <w:szCs w:val="22"/>
        </w:rPr>
      </w:pPr>
    </w:p>
    <w:p w:rsidR="00F87902" w:rsidRDefault="00A519F9">
      <w:pPr>
        <w:jc w:val="center"/>
        <w:rPr>
          <w:rFonts w:ascii="Arial" w:hAnsi="Arial" w:cs="Arial"/>
        </w:rPr>
      </w:pPr>
      <w:r>
        <w:rPr>
          <w:rFonts w:ascii="Arial" w:hAnsi="Arial" w:cs="Arial"/>
          <w:b/>
        </w:rPr>
        <w:t>CUADRO N°18</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tabs>
          <w:tab w:val="center" w:pos="4895"/>
          <w:tab w:val="right" w:pos="9791"/>
        </w:tabs>
        <w:rPr>
          <w:rFonts w:ascii="Arial" w:hAnsi="Arial" w:cs="Arial"/>
          <w:sz w:val="22"/>
          <w:szCs w:val="22"/>
        </w:rPr>
      </w:pPr>
      <w:r>
        <w:rPr>
          <w:rFonts w:ascii="Arial" w:hAnsi="Arial" w:cs="Arial"/>
          <w:sz w:val="22"/>
          <w:szCs w:val="22"/>
        </w:rPr>
        <w:tab/>
        <w:t>(millones de colones)</w:t>
      </w:r>
      <w:r>
        <w:rPr>
          <w:rFonts w:ascii="Arial" w:hAnsi="Arial" w:cs="Arial"/>
          <w:sz w:val="22"/>
          <w:szCs w:val="22"/>
        </w:rPr>
        <w:tab/>
      </w:r>
    </w:p>
    <w:p w:rsidR="00F87902" w:rsidRDefault="00F87902">
      <w:pPr>
        <w:jc w:val="center"/>
        <w:rPr>
          <w:rFonts w:ascii="Arial" w:hAnsi="Arial" w:cs="Arial"/>
        </w:rPr>
      </w:pPr>
    </w:p>
    <w:tbl>
      <w:tblPr>
        <w:tblW w:w="8720" w:type="dxa"/>
        <w:jc w:val="center"/>
        <w:tblBorders>
          <w:top w:val="single" w:sz="18" w:space="0" w:color="00000A"/>
        </w:tblBorders>
        <w:tblLook w:val="04A0"/>
      </w:tblPr>
      <w:tblGrid>
        <w:gridCol w:w="1422"/>
        <w:gridCol w:w="1307"/>
        <w:gridCol w:w="2481"/>
        <w:gridCol w:w="238"/>
        <w:gridCol w:w="1814"/>
        <w:gridCol w:w="1458"/>
      </w:tblGrid>
      <w:tr w:rsidR="00F87902">
        <w:trPr>
          <w:jc w:val="center"/>
        </w:trPr>
        <w:tc>
          <w:tcPr>
            <w:tcW w:w="1422"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789"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6" w:type="dxa"/>
            <w:tcBorders>
              <w:top w:val="single" w:sz="18" w:space="0" w:color="00000A"/>
            </w:tcBorders>
            <w:shd w:val="clear" w:color="auto" w:fill="auto"/>
          </w:tcPr>
          <w:p w:rsidR="00F87902" w:rsidRDefault="00F87902">
            <w:pPr>
              <w:jc w:val="center"/>
              <w:rPr>
                <w:rFonts w:ascii="Arial" w:hAnsi="Arial" w:cs="Arial"/>
                <w:b/>
              </w:rPr>
            </w:pPr>
          </w:p>
        </w:tc>
        <w:tc>
          <w:tcPr>
            <w:tcW w:w="3272"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22"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307"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82"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8"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814"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56"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22"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3.1</w:t>
            </w:r>
          </w:p>
        </w:tc>
        <w:tc>
          <w:tcPr>
            <w:tcW w:w="1307" w:type="dxa"/>
            <w:tcBorders>
              <w:top w:val="single" w:sz="12" w:space="0" w:color="00000A"/>
            </w:tcBorders>
            <w:shd w:val="clear" w:color="auto" w:fill="auto"/>
            <w:vAlign w:val="bottom"/>
          </w:tcPr>
          <w:p w:rsidR="00F87902" w:rsidRDefault="00A519F9">
            <w:pPr>
              <w:jc w:val="center"/>
              <w:rPr>
                <w:rFonts w:ascii="Arial" w:hAnsi="Arial" w:cs="Arial"/>
                <w:sz w:val="20"/>
                <w:szCs w:val="20"/>
              </w:rPr>
            </w:pPr>
            <w:r>
              <w:rPr>
                <w:rFonts w:ascii="Arial" w:hAnsi="Arial" w:cs="Arial"/>
                <w:sz w:val="20"/>
                <w:szCs w:val="20"/>
              </w:rPr>
              <w:t>1.728,2</w:t>
            </w:r>
          </w:p>
        </w:tc>
        <w:tc>
          <w:tcPr>
            <w:tcW w:w="2482" w:type="dxa"/>
            <w:tcBorders>
              <w:top w:val="single" w:sz="12" w:space="0" w:color="00000A"/>
            </w:tcBorders>
            <w:shd w:val="clear" w:color="auto" w:fill="auto"/>
            <w:vAlign w:val="bottom"/>
          </w:tcPr>
          <w:p w:rsidR="00F87902" w:rsidRDefault="00A519F9">
            <w:pPr>
              <w:ind w:left="283" w:right="680"/>
              <w:jc w:val="right"/>
              <w:rPr>
                <w:rFonts w:ascii="Arial" w:hAnsi="Arial" w:cs="Arial"/>
                <w:sz w:val="20"/>
                <w:szCs w:val="20"/>
              </w:rPr>
            </w:pPr>
            <w:r>
              <w:rPr>
                <w:rFonts w:ascii="Arial" w:hAnsi="Arial" w:cs="Arial"/>
                <w:sz w:val="20"/>
                <w:szCs w:val="20"/>
              </w:rPr>
              <w:t>2.062,3</w:t>
            </w:r>
          </w:p>
        </w:tc>
        <w:tc>
          <w:tcPr>
            <w:tcW w:w="238" w:type="dxa"/>
            <w:tcBorders>
              <w:top w:val="single" w:sz="12" w:space="0" w:color="00000A"/>
            </w:tcBorders>
            <w:shd w:val="clear" w:color="auto" w:fill="auto"/>
          </w:tcPr>
          <w:p w:rsidR="00F87902" w:rsidRDefault="00F87902">
            <w:pPr>
              <w:jc w:val="center"/>
              <w:rPr>
                <w:rFonts w:ascii="Arial" w:hAnsi="Arial" w:cs="Arial"/>
                <w:sz w:val="20"/>
                <w:szCs w:val="20"/>
              </w:rPr>
            </w:pPr>
          </w:p>
        </w:tc>
        <w:tc>
          <w:tcPr>
            <w:tcW w:w="1814" w:type="dxa"/>
            <w:tcBorders>
              <w:top w:val="single" w:sz="12" w:space="0" w:color="00000A"/>
            </w:tcBorders>
            <w:shd w:val="clear" w:color="auto" w:fill="auto"/>
            <w:vAlign w:val="bottom"/>
          </w:tcPr>
          <w:p w:rsidR="00F87902" w:rsidRDefault="00A519F9">
            <w:pPr>
              <w:ind w:left="283" w:right="454"/>
              <w:jc w:val="right"/>
              <w:rPr>
                <w:rFonts w:ascii="Arial" w:hAnsi="Arial" w:cs="Arial"/>
                <w:sz w:val="20"/>
                <w:szCs w:val="20"/>
              </w:rPr>
            </w:pPr>
            <w:r>
              <w:rPr>
                <w:rFonts w:ascii="Arial" w:hAnsi="Arial" w:cs="Arial"/>
                <w:sz w:val="20"/>
                <w:szCs w:val="20"/>
              </w:rPr>
              <w:t>1.634,2</w:t>
            </w:r>
          </w:p>
        </w:tc>
        <w:tc>
          <w:tcPr>
            <w:tcW w:w="1456"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79,2%</w:t>
            </w:r>
          </w:p>
        </w:tc>
      </w:tr>
      <w:tr w:rsidR="00F87902">
        <w:trPr>
          <w:trHeight w:val="156"/>
          <w:jc w:val="center"/>
        </w:trPr>
        <w:tc>
          <w:tcPr>
            <w:tcW w:w="1422" w:type="dxa"/>
            <w:shd w:val="clear" w:color="auto" w:fill="auto"/>
          </w:tcPr>
          <w:p w:rsidR="00F87902" w:rsidRDefault="00F87902">
            <w:pPr>
              <w:jc w:val="center"/>
              <w:rPr>
                <w:rFonts w:ascii="Arial" w:hAnsi="Arial" w:cs="Arial"/>
                <w:b/>
                <w:sz w:val="20"/>
                <w:szCs w:val="20"/>
              </w:rPr>
            </w:pPr>
          </w:p>
        </w:tc>
        <w:tc>
          <w:tcPr>
            <w:tcW w:w="1307" w:type="dxa"/>
            <w:shd w:val="clear" w:color="auto" w:fill="auto"/>
          </w:tcPr>
          <w:p w:rsidR="00F87902" w:rsidRDefault="00F87902">
            <w:pPr>
              <w:jc w:val="center"/>
              <w:rPr>
                <w:rFonts w:ascii="Arial" w:hAnsi="Arial" w:cs="Arial"/>
                <w:bCs/>
                <w:sz w:val="20"/>
                <w:szCs w:val="20"/>
              </w:rPr>
            </w:pPr>
          </w:p>
        </w:tc>
        <w:tc>
          <w:tcPr>
            <w:tcW w:w="2482" w:type="dxa"/>
            <w:shd w:val="clear" w:color="auto" w:fill="auto"/>
          </w:tcPr>
          <w:p w:rsidR="00F87902" w:rsidRDefault="00F87902">
            <w:pPr>
              <w:ind w:left="283" w:right="680"/>
              <w:jc w:val="center"/>
              <w:rPr>
                <w:rFonts w:ascii="Arial" w:hAnsi="Arial" w:cs="Arial"/>
                <w:sz w:val="20"/>
                <w:szCs w:val="20"/>
              </w:rPr>
            </w:pPr>
          </w:p>
        </w:tc>
        <w:tc>
          <w:tcPr>
            <w:tcW w:w="238" w:type="dxa"/>
            <w:shd w:val="clear" w:color="auto" w:fill="auto"/>
          </w:tcPr>
          <w:p w:rsidR="00F87902" w:rsidRDefault="00F87902">
            <w:pPr>
              <w:jc w:val="center"/>
              <w:rPr>
                <w:rFonts w:ascii="Arial" w:hAnsi="Arial" w:cs="Arial"/>
                <w:sz w:val="20"/>
                <w:szCs w:val="20"/>
              </w:rPr>
            </w:pPr>
          </w:p>
        </w:tc>
        <w:tc>
          <w:tcPr>
            <w:tcW w:w="1814" w:type="dxa"/>
            <w:shd w:val="clear" w:color="auto" w:fill="auto"/>
          </w:tcPr>
          <w:p w:rsidR="00F87902" w:rsidRDefault="00F87902">
            <w:pPr>
              <w:ind w:left="283" w:right="454"/>
              <w:jc w:val="center"/>
              <w:rPr>
                <w:rFonts w:ascii="Arial" w:hAnsi="Arial" w:cs="Arial"/>
                <w:sz w:val="20"/>
                <w:szCs w:val="20"/>
              </w:rPr>
            </w:pPr>
          </w:p>
        </w:tc>
        <w:tc>
          <w:tcPr>
            <w:tcW w:w="1456" w:type="dxa"/>
            <w:shd w:val="clear" w:color="auto" w:fill="auto"/>
          </w:tcPr>
          <w:p w:rsidR="00F87902" w:rsidRDefault="00F87902">
            <w:pPr>
              <w:ind w:left="283" w:right="340"/>
              <w:jc w:val="center"/>
              <w:rPr>
                <w:rFonts w:ascii="Arial" w:hAnsi="Arial" w:cs="Arial"/>
                <w:sz w:val="20"/>
                <w:szCs w:val="20"/>
              </w:rPr>
            </w:pPr>
          </w:p>
        </w:tc>
      </w:tr>
      <w:tr w:rsidR="00F87902">
        <w:trPr>
          <w:jc w:val="center"/>
        </w:trPr>
        <w:tc>
          <w:tcPr>
            <w:tcW w:w="1422"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3</w:t>
            </w:r>
          </w:p>
        </w:tc>
        <w:tc>
          <w:tcPr>
            <w:tcW w:w="1307" w:type="dxa"/>
            <w:tcBorders>
              <w:top w:val="single" w:sz="18" w:space="0" w:color="00000A"/>
              <w:bottom w:val="single" w:sz="18" w:space="0" w:color="00000A"/>
            </w:tcBorders>
            <w:shd w:val="clear" w:color="auto" w:fill="auto"/>
            <w:vAlign w:val="bottom"/>
          </w:tcPr>
          <w:p w:rsidR="00F87902" w:rsidRDefault="00A519F9">
            <w:pPr>
              <w:jc w:val="center"/>
              <w:rPr>
                <w:rFonts w:ascii="Arial" w:hAnsi="Arial" w:cs="Arial"/>
                <w:b/>
                <w:sz w:val="20"/>
                <w:szCs w:val="20"/>
              </w:rPr>
            </w:pPr>
            <w:r>
              <w:rPr>
                <w:rFonts w:ascii="Arial" w:hAnsi="Arial" w:cs="Arial"/>
                <w:b/>
                <w:sz w:val="20"/>
                <w:szCs w:val="20"/>
              </w:rPr>
              <w:t>1.728,2</w:t>
            </w:r>
          </w:p>
        </w:tc>
        <w:tc>
          <w:tcPr>
            <w:tcW w:w="2482" w:type="dxa"/>
            <w:tcBorders>
              <w:top w:val="single" w:sz="18" w:space="0" w:color="00000A"/>
              <w:bottom w:val="single" w:sz="18" w:space="0" w:color="00000A"/>
            </w:tcBorders>
            <w:shd w:val="clear" w:color="auto" w:fill="auto"/>
            <w:vAlign w:val="bottom"/>
          </w:tcPr>
          <w:p w:rsidR="00F87902" w:rsidRDefault="00A519F9">
            <w:pPr>
              <w:ind w:left="283" w:right="680"/>
              <w:jc w:val="right"/>
              <w:rPr>
                <w:rFonts w:ascii="Arial" w:hAnsi="Arial" w:cs="Arial"/>
                <w:b/>
                <w:sz w:val="20"/>
                <w:szCs w:val="20"/>
              </w:rPr>
            </w:pPr>
            <w:r>
              <w:rPr>
                <w:rFonts w:ascii="Arial" w:hAnsi="Arial" w:cs="Arial"/>
                <w:b/>
                <w:sz w:val="20"/>
                <w:szCs w:val="20"/>
              </w:rPr>
              <w:t>2.062,3</w:t>
            </w:r>
          </w:p>
        </w:tc>
        <w:tc>
          <w:tcPr>
            <w:tcW w:w="238" w:type="dxa"/>
            <w:tcBorders>
              <w:top w:val="single" w:sz="18" w:space="0" w:color="00000A"/>
              <w:bottom w:val="single" w:sz="18" w:space="0" w:color="00000A"/>
            </w:tcBorders>
            <w:shd w:val="clear" w:color="auto" w:fill="auto"/>
          </w:tcPr>
          <w:p w:rsidR="00F87902" w:rsidRDefault="00F87902">
            <w:pPr>
              <w:jc w:val="right"/>
              <w:rPr>
                <w:rFonts w:ascii="Arial" w:hAnsi="Arial" w:cs="Arial"/>
                <w:b/>
                <w:sz w:val="20"/>
                <w:szCs w:val="20"/>
              </w:rPr>
            </w:pPr>
          </w:p>
        </w:tc>
        <w:tc>
          <w:tcPr>
            <w:tcW w:w="1814" w:type="dxa"/>
            <w:tcBorders>
              <w:top w:val="single" w:sz="18" w:space="0" w:color="00000A"/>
              <w:bottom w:val="single" w:sz="18" w:space="0" w:color="00000A"/>
            </w:tcBorders>
            <w:shd w:val="clear" w:color="auto" w:fill="auto"/>
            <w:vAlign w:val="bottom"/>
          </w:tcPr>
          <w:p w:rsidR="00F87902" w:rsidRDefault="00A519F9">
            <w:pPr>
              <w:ind w:left="283" w:right="454"/>
              <w:jc w:val="right"/>
              <w:rPr>
                <w:rFonts w:ascii="Arial" w:hAnsi="Arial" w:cs="Arial"/>
                <w:b/>
                <w:sz w:val="20"/>
                <w:szCs w:val="20"/>
              </w:rPr>
            </w:pPr>
            <w:r>
              <w:rPr>
                <w:rFonts w:ascii="Arial" w:hAnsi="Arial" w:cs="Arial"/>
                <w:b/>
                <w:sz w:val="20"/>
                <w:szCs w:val="20"/>
              </w:rPr>
              <w:t>1.634,2</w:t>
            </w:r>
          </w:p>
        </w:tc>
        <w:tc>
          <w:tcPr>
            <w:tcW w:w="1456" w:type="dxa"/>
            <w:tcBorders>
              <w:top w:val="single" w:sz="18" w:space="0" w:color="00000A"/>
              <w:bottom w:val="single" w:sz="18" w:space="0" w:color="00000A"/>
            </w:tcBorders>
            <w:shd w:val="clear" w:color="auto" w:fill="auto"/>
            <w:vAlign w:val="bottom"/>
          </w:tcPr>
          <w:p w:rsidR="00F87902" w:rsidRDefault="00A519F9">
            <w:pPr>
              <w:ind w:left="283" w:right="340"/>
              <w:jc w:val="right"/>
              <w:rPr>
                <w:rFonts w:ascii="Arial" w:hAnsi="Arial" w:cs="Arial"/>
                <w:b/>
                <w:sz w:val="20"/>
                <w:szCs w:val="20"/>
              </w:rPr>
            </w:pPr>
            <w:r>
              <w:rPr>
                <w:rFonts w:ascii="Arial" w:hAnsi="Arial" w:cs="Arial"/>
                <w:b/>
                <w:sz w:val="20"/>
                <w:szCs w:val="20"/>
              </w:rPr>
              <w:t>79,2%</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spacing w:line="360" w:lineRule="auto"/>
        <w:jc w:val="both"/>
        <w:rPr>
          <w:rFonts w:ascii="Arial" w:hAnsi="Arial" w:cs="Arial"/>
          <w:b/>
          <w:i/>
          <w:sz w:val="18"/>
          <w:szCs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spacing w:line="360" w:lineRule="auto"/>
        <w:rPr>
          <w:rFonts w:ascii="Arial" w:hAnsi="Arial" w:cs="Arial"/>
          <w:b/>
        </w:rPr>
      </w:pPr>
    </w:p>
    <w:p w:rsidR="00F87902" w:rsidRDefault="00F87902">
      <w:pPr>
        <w:spacing w:line="360" w:lineRule="auto"/>
        <w:rPr>
          <w:rFonts w:ascii="Arial" w:hAnsi="Arial" w:cs="Arial"/>
          <w:b/>
        </w:rPr>
      </w:pPr>
    </w:p>
    <w:p w:rsidR="00F87902" w:rsidRDefault="00A519F9">
      <w:pPr>
        <w:spacing w:line="360" w:lineRule="auto"/>
        <w:rPr>
          <w:rFonts w:ascii="Arial" w:hAnsi="Arial" w:cs="Arial"/>
          <w:b/>
          <w:color w:val="0070C0"/>
        </w:rPr>
      </w:pPr>
      <w:r>
        <w:rPr>
          <w:rFonts w:ascii="Arial" w:hAnsi="Arial" w:cs="Arial"/>
          <w:b/>
        </w:rPr>
        <w:t xml:space="preserve">Objetivo 4. Modernizar las estructuras física y tecnológica de la institución de carácter estratégico, que permita desarrollar el quehacer institucional.    </w:t>
      </w:r>
    </w:p>
    <w:p w:rsidR="00F87902" w:rsidRDefault="00F87902">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Meta 4.1  Ejecutar 6 actividades de inversión para brindar las condiciones necesarias en el desarrollo de actividades de apoyo.</w:t>
      </w:r>
    </w:p>
    <w:p w:rsidR="00F87902" w:rsidRDefault="00F87902">
      <w:pPr>
        <w:ind w:left="708"/>
        <w:jc w:val="both"/>
        <w:rPr>
          <w:rFonts w:ascii="Arial" w:hAnsi="Arial" w:cs="Arial"/>
          <w:b/>
          <w:i/>
          <w:color w:val="E36C0A" w:themeColor="accent6" w:themeShade="BF"/>
          <w:sz w:val="22"/>
          <w:szCs w:val="22"/>
        </w:rPr>
      </w:pPr>
    </w:p>
    <w:p w:rsidR="00F87902" w:rsidRDefault="00A519F9">
      <w:pPr>
        <w:ind w:left="708"/>
        <w:jc w:val="both"/>
        <w:rPr>
          <w:rFonts w:ascii="Arial" w:hAnsi="Arial" w:cs="Arial"/>
          <w:sz w:val="22"/>
          <w:szCs w:val="22"/>
        </w:rPr>
      </w:pPr>
      <w:r>
        <w:rPr>
          <w:rFonts w:ascii="Arial" w:hAnsi="Arial" w:cs="Arial"/>
          <w:sz w:val="22"/>
          <w:szCs w:val="22"/>
        </w:rPr>
        <w:t xml:space="preserve">El cumplimiento en este ámbito se estima en el </w:t>
      </w:r>
      <w:r>
        <w:rPr>
          <w:rFonts w:ascii="Arial" w:hAnsi="Arial" w:cs="Arial"/>
          <w:b/>
          <w:sz w:val="22"/>
          <w:szCs w:val="22"/>
        </w:rPr>
        <w:t>70%</w:t>
      </w:r>
      <w:r>
        <w:rPr>
          <w:rFonts w:ascii="Arial" w:hAnsi="Arial" w:cs="Arial"/>
          <w:sz w:val="22"/>
          <w:szCs w:val="22"/>
        </w:rPr>
        <w:t>, en vista de la ejecución, de acuerdo con lo propuesto para el 2015, de lo concerniente a seguridad electrónica institucional, renovación de flotilla vehicular, puente sobre el río Pirro, y mejoras en el Edificio Administrativo. Buena parte de los recursos serán girados en el 2016, por lo que la ejecución presupuestaria en esta meta se acerca tan solo al 30%, pero al adicionarle los compromisos alcanza el 87%. A continuación se adjunta un listado de referencia de actividades realizadas:</w:t>
      </w:r>
    </w:p>
    <w:p w:rsidR="00F87902" w:rsidRDefault="00F87902">
      <w:pPr>
        <w:ind w:left="708"/>
        <w:jc w:val="both"/>
        <w:rPr>
          <w:rFonts w:ascii="Arial" w:hAnsi="Arial" w:cs="Arial"/>
          <w:sz w:val="22"/>
          <w:szCs w:val="22"/>
        </w:rPr>
      </w:pPr>
    </w:p>
    <w:p w:rsidR="00F87902" w:rsidRDefault="00A519F9">
      <w:pPr>
        <w:pStyle w:val="Prrafodelista"/>
        <w:numPr>
          <w:ilvl w:val="0"/>
          <w:numId w:val="30"/>
        </w:numPr>
        <w:rPr>
          <w:rFonts w:ascii="Arial" w:hAnsi="Arial" w:cs="Arial"/>
          <w:sz w:val="22"/>
          <w:szCs w:val="22"/>
        </w:rPr>
      </w:pPr>
      <w:r>
        <w:rPr>
          <w:rFonts w:ascii="Arial" w:hAnsi="Arial" w:cs="Arial"/>
          <w:sz w:val="22"/>
          <w:szCs w:val="22"/>
        </w:rPr>
        <w:t>20% de avance  en el puente sobre el río Pirro, con la expectativa de concluirlo en mayo del 2016.</w:t>
      </w:r>
    </w:p>
    <w:p w:rsidR="00F87902" w:rsidRDefault="00A519F9">
      <w:pPr>
        <w:pStyle w:val="Prrafodelista"/>
        <w:numPr>
          <w:ilvl w:val="0"/>
          <w:numId w:val="30"/>
        </w:numPr>
        <w:rPr>
          <w:rFonts w:ascii="Arial" w:hAnsi="Arial" w:cs="Arial"/>
          <w:sz w:val="22"/>
          <w:szCs w:val="22"/>
        </w:rPr>
      </w:pPr>
      <w:r>
        <w:rPr>
          <w:rFonts w:ascii="Arial" w:hAnsi="Arial" w:cs="Arial"/>
          <w:sz w:val="22"/>
          <w:szCs w:val="22"/>
        </w:rPr>
        <w:t>Recursos sin girar para las mejoras en el Edificio Administrativo, en razón de que las obras iniciaron en diciembre; no obstante, la totalidad de los recursos presupuestados sí se comprometieron, y se espera que el proyecto finalice en abril del 2016.</w:t>
      </w:r>
    </w:p>
    <w:p w:rsidR="00F87902" w:rsidRDefault="00A519F9">
      <w:pPr>
        <w:pStyle w:val="Prrafodelista"/>
        <w:numPr>
          <w:ilvl w:val="0"/>
          <w:numId w:val="30"/>
        </w:numPr>
        <w:rPr>
          <w:rFonts w:ascii="Arial" w:hAnsi="Arial" w:cs="Arial"/>
          <w:sz w:val="22"/>
          <w:szCs w:val="22"/>
        </w:rPr>
      </w:pPr>
      <w:r>
        <w:rPr>
          <w:rFonts w:ascii="Arial" w:hAnsi="Arial" w:cs="Arial"/>
          <w:sz w:val="22"/>
          <w:szCs w:val="22"/>
        </w:rPr>
        <w:t>Obras de seguridad institucional realizadas.</w:t>
      </w:r>
    </w:p>
    <w:p w:rsidR="00F87902" w:rsidRDefault="00A519F9">
      <w:pPr>
        <w:pStyle w:val="Prrafodelista"/>
        <w:numPr>
          <w:ilvl w:val="0"/>
          <w:numId w:val="30"/>
        </w:numPr>
        <w:rPr>
          <w:rFonts w:ascii="Arial" w:hAnsi="Arial" w:cs="Arial"/>
          <w:sz w:val="22"/>
          <w:szCs w:val="22"/>
        </w:rPr>
      </w:pPr>
      <w:r>
        <w:rPr>
          <w:rFonts w:ascii="Arial" w:hAnsi="Arial" w:cs="Arial"/>
          <w:sz w:val="22"/>
          <w:szCs w:val="22"/>
        </w:rPr>
        <w:t>Renovación de la flotilla vehicular de acuerdo con el plan de inversiones.</w:t>
      </w:r>
    </w:p>
    <w:p w:rsidR="00F87902" w:rsidRDefault="00A519F9">
      <w:pPr>
        <w:pStyle w:val="Prrafodelista"/>
        <w:numPr>
          <w:ilvl w:val="0"/>
          <w:numId w:val="30"/>
        </w:numPr>
        <w:rPr>
          <w:rFonts w:ascii="Arial" w:hAnsi="Arial" w:cs="Arial"/>
          <w:sz w:val="22"/>
          <w:szCs w:val="22"/>
        </w:rPr>
      </w:pPr>
      <w:r>
        <w:rPr>
          <w:rFonts w:ascii="Arial" w:hAnsi="Arial" w:cs="Arial"/>
          <w:sz w:val="22"/>
          <w:szCs w:val="22"/>
        </w:rPr>
        <w:t>Diversos proyectos de inversión tales como remodelaciones, asfaltado de calles y parqueos, señalética, adecuaciones de la infraestructura.</w:t>
      </w:r>
    </w:p>
    <w:p w:rsidR="00F87902" w:rsidRDefault="00F87902">
      <w:pPr>
        <w:rPr>
          <w:rFonts w:ascii="Arial" w:hAnsi="Arial" w:cs="Arial"/>
          <w:sz w:val="22"/>
          <w:szCs w:val="22"/>
        </w:rPr>
      </w:pPr>
    </w:p>
    <w:p w:rsidR="00F87902" w:rsidRDefault="00A519F9">
      <w:pPr>
        <w:ind w:left="1068"/>
        <w:jc w:val="both"/>
        <w:rPr>
          <w:rFonts w:ascii="Arial" w:hAnsi="Arial" w:cs="Arial"/>
          <w:i/>
          <w:sz w:val="22"/>
          <w:szCs w:val="22"/>
        </w:rPr>
      </w:pPr>
      <w:r>
        <w:rPr>
          <w:rFonts w:ascii="Arial" w:hAnsi="Arial" w:cs="Arial"/>
          <w:i/>
          <w:sz w:val="22"/>
          <w:szCs w:val="22"/>
        </w:rPr>
        <w:t xml:space="preserve">La baja ejecución en esta meta (29,8%) se genera a partir de los procesos de licitación de obras de infraestructura, que por lo general superan el año de ejecución, y por tanto </w:t>
      </w:r>
      <w:r>
        <w:rPr>
          <w:rFonts w:ascii="Arial" w:hAnsi="Arial" w:cs="Arial"/>
          <w:i/>
          <w:sz w:val="22"/>
          <w:szCs w:val="22"/>
        </w:rPr>
        <w:lastRenderedPageBreak/>
        <w:t>crean compromisos por concretarse en el siguiente año. De hecho, si en esta meta se suman los recursos comprometidos, la ejecución crece al 87%.</w:t>
      </w:r>
    </w:p>
    <w:p w:rsidR="00F87902" w:rsidRDefault="00F87902">
      <w:pPr>
        <w:ind w:left="1068"/>
        <w:jc w:val="both"/>
        <w:rPr>
          <w:rFonts w:ascii="Arial" w:hAnsi="Arial" w:cs="Arial"/>
          <w:i/>
          <w:sz w:val="22"/>
          <w:szCs w:val="22"/>
        </w:rPr>
      </w:pPr>
    </w:p>
    <w:p w:rsidR="006D52EA" w:rsidRDefault="006D52EA">
      <w:pPr>
        <w:spacing w:line="360" w:lineRule="auto"/>
        <w:ind w:left="708"/>
        <w:jc w:val="both"/>
        <w:rPr>
          <w:rFonts w:ascii="Arial" w:hAnsi="Arial" w:cs="Arial"/>
          <w:b/>
        </w:rPr>
      </w:pPr>
    </w:p>
    <w:p w:rsidR="00F87902" w:rsidRDefault="00A519F9">
      <w:pPr>
        <w:spacing w:line="360" w:lineRule="auto"/>
        <w:ind w:left="708"/>
        <w:jc w:val="both"/>
        <w:rPr>
          <w:rFonts w:ascii="Arial" w:hAnsi="Arial" w:cs="Arial"/>
          <w:b/>
        </w:rPr>
      </w:pPr>
      <w:r>
        <w:rPr>
          <w:rFonts w:ascii="Arial" w:hAnsi="Arial" w:cs="Arial"/>
          <w:b/>
        </w:rPr>
        <w:t xml:space="preserve">Meta 4.2  Actualizar y renovar el equipamiento institucional en un 85% de lo establecido para este concepto en el plan de inversiones institucional.         </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sz w:val="22"/>
          <w:szCs w:val="22"/>
        </w:rPr>
      </w:pPr>
      <w:r>
        <w:rPr>
          <w:rFonts w:ascii="Arial" w:hAnsi="Arial" w:cs="Arial"/>
          <w:sz w:val="22"/>
          <w:szCs w:val="22"/>
        </w:rPr>
        <w:t>No obstante la meta presenta una ejecución cercana al 76%, se renovó alrededor del 80% del equipamiento institucional</w:t>
      </w:r>
      <w:r w:rsidR="00F54C31">
        <w:rPr>
          <w:rFonts w:ascii="Arial" w:hAnsi="Arial" w:cs="Arial"/>
          <w:sz w:val="22"/>
          <w:szCs w:val="22"/>
        </w:rPr>
        <w:t xml:space="preserve"> (94,1% de cumplimiento)</w:t>
      </w:r>
      <w:r>
        <w:rPr>
          <w:rFonts w:ascii="Arial" w:hAnsi="Arial" w:cs="Arial"/>
          <w:sz w:val="22"/>
          <w:szCs w:val="22"/>
        </w:rPr>
        <w:t>, según lo establecido en el plan de inversiones. Existen compromisos de compras de equipo iniciadas en el 2015, aunque de acuerdo con los plazos no se concretó la entrega por parte del proveedor, lo cual se consolidará en el 2016.</w:t>
      </w:r>
    </w:p>
    <w:p w:rsidR="00F87902" w:rsidRDefault="00F87902">
      <w:pPr>
        <w:ind w:left="708"/>
        <w:jc w:val="both"/>
        <w:rPr>
          <w:rFonts w:ascii="Arial" w:hAnsi="Arial" w:cs="Arial"/>
          <w:sz w:val="22"/>
          <w:szCs w:val="22"/>
        </w:rPr>
      </w:pPr>
    </w:p>
    <w:p w:rsidR="00F87902" w:rsidRDefault="00A519F9">
      <w:pPr>
        <w:ind w:left="708"/>
        <w:jc w:val="both"/>
        <w:rPr>
          <w:rFonts w:ascii="Arial" w:hAnsi="Arial" w:cs="Arial"/>
          <w:i/>
          <w:sz w:val="22"/>
          <w:szCs w:val="22"/>
        </w:rPr>
      </w:pPr>
      <w:r>
        <w:rPr>
          <w:rFonts w:ascii="Arial" w:hAnsi="Arial" w:cs="Arial"/>
          <w:i/>
          <w:sz w:val="22"/>
          <w:szCs w:val="22"/>
        </w:rPr>
        <w:t>La baja ejecución en la meta (75,8%) se deriva de los procesos de licitación para la compra de equipos, cuyos plazos generan compromisos por ejecutar en el año siguiente. Si dichos recursos se consideran, la ejecución asciende al 90%.</w:t>
      </w:r>
    </w:p>
    <w:p w:rsidR="00F87902" w:rsidRDefault="00F87902">
      <w:pPr>
        <w:jc w:val="both"/>
        <w:rPr>
          <w:rFonts w:ascii="Arial" w:hAnsi="Arial" w:cs="Arial"/>
        </w:rPr>
      </w:pPr>
    </w:p>
    <w:p w:rsidR="00F87902" w:rsidRDefault="00F87902">
      <w:pPr>
        <w:jc w:val="both"/>
        <w:rPr>
          <w:rFonts w:ascii="Arial" w:hAnsi="Arial" w:cs="Arial"/>
        </w:rPr>
      </w:pPr>
    </w:p>
    <w:p w:rsidR="00F87902" w:rsidRDefault="00A519F9">
      <w:pPr>
        <w:jc w:val="both"/>
        <w:rPr>
          <w:rFonts w:ascii="Arial" w:hAnsi="Arial" w:cs="Arial"/>
        </w:rPr>
      </w:pPr>
      <w:r>
        <w:rPr>
          <w:rFonts w:ascii="Arial" w:hAnsi="Arial" w:cs="Arial"/>
        </w:rPr>
        <w:t>A continuación se detalla la ejecución presupuestaria por metas del presente objetivo, con corte al 31 de diciembre del 2015.</w:t>
      </w: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rPr>
          <w:rFonts w:ascii="Arial" w:hAnsi="Arial" w:cs="Arial"/>
        </w:rPr>
      </w:pPr>
      <w:r>
        <w:rPr>
          <w:rFonts w:ascii="Arial" w:hAnsi="Arial" w:cs="Arial"/>
          <w:b/>
        </w:rPr>
        <w:t>CUADRO N°19</w:t>
      </w:r>
    </w:p>
    <w:p w:rsidR="00F87902" w:rsidRDefault="00A519F9">
      <w:pPr>
        <w:jc w:val="center"/>
        <w:rPr>
          <w:rFonts w:ascii="Arial" w:hAnsi="Arial" w:cs="Arial"/>
          <w:sz w:val="22"/>
          <w:szCs w:val="22"/>
        </w:rPr>
      </w:pPr>
      <w:r>
        <w:rPr>
          <w:rFonts w:ascii="Arial" w:hAnsi="Arial" w:cs="Arial"/>
          <w:sz w:val="22"/>
          <w:szCs w:val="22"/>
        </w:rPr>
        <w:t>Formulación inicial, presupuesto modificado y ejecución al 31 de diciembre, según objetivo y meta del Plan operativo anual institucional (POAI) del 2015</w:t>
      </w:r>
    </w:p>
    <w:p w:rsidR="00F87902" w:rsidRDefault="00A519F9">
      <w:pPr>
        <w:jc w:val="center"/>
        <w:rPr>
          <w:rFonts w:ascii="Arial" w:hAnsi="Arial" w:cs="Arial"/>
          <w:sz w:val="22"/>
          <w:szCs w:val="22"/>
        </w:rPr>
      </w:pPr>
      <w:r>
        <w:rPr>
          <w:rFonts w:ascii="Arial" w:hAnsi="Arial" w:cs="Arial"/>
          <w:sz w:val="22"/>
          <w:szCs w:val="22"/>
        </w:rPr>
        <w:t>(millones de colones)</w:t>
      </w:r>
    </w:p>
    <w:p w:rsidR="00F87902" w:rsidRDefault="00F87902">
      <w:pPr>
        <w:jc w:val="center"/>
        <w:rPr>
          <w:rFonts w:ascii="Arial" w:hAnsi="Arial" w:cs="Arial"/>
        </w:rPr>
      </w:pPr>
    </w:p>
    <w:tbl>
      <w:tblPr>
        <w:tblW w:w="8720" w:type="dxa"/>
        <w:jc w:val="center"/>
        <w:tblBorders>
          <w:top w:val="single" w:sz="18" w:space="0" w:color="00000A"/>
        </w:tblBorders>
        <w:tblLook w:val="04A0"/>
      </w:tblPr>
      <w:tblGrid>
        <w:gridCol w:w="1404"/>
        <w:gridCol w:w="1451"/>
        <w:gridCol w:w="2405"/>
        <w:gridCol w:w="236"/>
        <w:gridCol w:w="1773"/>
        <w:gridCol w:w="1451"/>
      </w:tblGrid>
      <w:tr w:rsidR="00F87902">
        <w:trPr>
          <w:jc w:val="center"/>
        </w:trPr>
        <w:tc>
          <w:tcPr>
            <w:tcW w:w="1403" w:type="dxa"/>
            <w:vMerge w:val="restart"/>
            <w:tcBorders>
              <w:top w:val="single" w:sz="18" w:space="0" w:color="00000A"/>
            </w:tcBorders>
            <w:shd w:val="clear" w:color="auto" w:fill="auto"/>
          </w:tcPr>
          <w:p w:rsidR="00F87902" w:rsidRDefault="00A519F9">
            <w:pPr>
              <w:jc w:val="center"/>
              <w:rPr>
                <w:rFonts w:ascii="Arial" w:hAnsi="Arial" w:cs="Arial"/>
                <w:b/>
              </w:rPr>
            </w:pPr>
            <w:r>
              <w:rPr>
                <w:rFonts w:ascii="Arial" w:hAnsi="Arial" w:cs="Arial"/>
                <w:b/>
              </w:rPr>
              <w:t>Objetivos y Metas</w:t>
            </w:r>
          </w:p>
        </w:tc>
        <w:tc>
          <w:tcPr>
            <w:tcW w:w="3856"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Presupuesto</w:t>
            </w:r>
          </w:p>
        </w:tc>
        <w:tc>
          <w:tcPr>
            <w:tcW w:w="236" w:type="dxa"/>
            <w:tcBorders>
              <w:top w:val="single" w:sz="18" w:space="0" w:color="00000A"/>
            </w:tcBorders>
            <w:shd w:val="clear" w:color="auto" w:fill="auto"/>
          </w:tcPr>
          <w:p w:rsidR="00F87902" w:rsidRDefault="00F87902">
            <w:pPr>
              <w:jc w:val="center"/>
              <w:rPr>
                <w:rFonts w:ascii="Arial" w:hAnsi="Arial" w:cs="Arial"/>
                <w:b/>
              </w:rPr>
            </w:pPr>
          </w:p>
        </w:tc>
        <w:tc>
          <w:tcPr>
            <w:tcW w:w="3224" w:type="dxa"/>
            <w:gridSpan w:val="2"/>
            <w:tcBorders>
              <w:top w:val="single" w:sz="18" w:space="0" w:color="00000A"/>
              <w:bottom w:val="single" w:sz="8" w:space="0" w:color="00000A"/>
            </w:tcBorders>
            <w:shd w:val="clear" w:color="auto" w:fill="auto"/>
          </w:tcPr>
          <w:p w:rsidR="00F87902" w:rsidRDefault="00A519F9">
            <w:pPr>
              <w:jc w:val="center"/>
              <w:rPr>
                <w:rFonts w:ascii="Arial" w:hAnsi="Arial" w:cs="Arial"/>
                <w:b/>
              </w:rPr>
            </w:pPr>
            <w:r>
              <w:rPr>
                <w:rFonts w:ascii="Arial" w:hAnsi="Arial" w:cs="Arial"/>
                <w:b/>
              </w:rPr>
              <w:t>Ejecución</w:t>
            </w:r>
          </w:p>
        </w:tc>
      </w:tr>
      <w:tr w:rsidR="00F87902">
        <w:trPr>
          <w:jc w:val="center"/>
        </w:trPr>
        <w:tc>
          <w:tcPr>
            <w:tcW w:w="1403" w:type="dxa"/>
            <w:vMerge/>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451"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Inicial</w:t>
            </w:r>
            <w:r>
              <w:rPr>
                <w:rFonts w:ascii="Arial" w:hAnsi="Arial" w:cs="Arial"/>
                <w:b/>
                <w:vertAlign w:val="superscript"/>
              </w:rPr>
              <w:t>(1)</w:t>
            </w:r>
          </w:p>
        </w:tc>
        <w:tc>
          <w:tcPr>
            <w:tcW w:w="2405"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Modificado</w:t>
            </w:r>
            <w:r>
              <w:rPr>
                <w:rFonts w:ascii="Arial" w:hAnsi="Arial" w:cs="Arial"/>
                <w:b/>
                <w:vertAlign w:val="superscript"/>
              </w:rPr>
              <w:t>(2)</w:t>
            </w:r>
          </w:p>
        </w:tc>
        <w:tc>
          <w:tcPr>
            <w:tcW w:w="236" w:type="dxa"/>
            <w:tcBorders>
              <w:top w:val="single" w:sz="12" w:space="0" w:color="00000A"/>
              <w:bottom w:val="single" w:sz="12" w:space="0" w:color="00000A"/>
            </w:tcBorders>
            <w:shd w:val="clear" w:color="auto" w:fill="auto"/>
          </w:tcPr>
          <w:p w:rsidR="00F87902" w:rsidRDefault="00F87902">
            <w:pPr>
              <w:jc w:val="center"/>
              <w:rPr>
                <w:rFonts w:ascii="Arial" w:hAnsi="Arial" w:cs="Arial"/>
                <w:b/>
              </w:rPr>
            </w:pPr>
          </w:p>
        </w:tc>
        <w:tc>
          <w:tcPr>
            <w:tcW w:w="1773" w:type="dxa"/>
            <w:tcBorders>
              <w:top w:val="single" w:sz="8" w:space="0" w:color="00000A"/>
              <w:bottom w:val="single" w:sz="12" w:space="0" w:color="00000A"/>
            </w:tcBorders>
            <w:shd w:val="clear" w:color="auto" w:fill="auto"/>
          </w:tcPr>
          <w:p w:rsidR="00F87902" w:rsidRDefault="00A519F9">
            <w:pPr>
              <w:jc w:val="center"/>
              <w:rPr>
                <w:rFonts w:ascii="Arial" w:hAnsi="Arial" w:cs="Arial"/>
                <w:b/>
              </w:rPr>
            </w:pPr>
            <w:r>
              <w:rPr>
                <w:rFonts w:ascii="Arial" w:hAnsi="Arial" w:cs="Arial"/>
                <w:b/>
              </w:rPr>
              <w:t>Absoluto</w:t>
            </w:r>
          </w:p>
        </w:tc>
        <w:tc>
          <w:tcPr>
            <w:tcW w:w="1451" w:type="dxa"/>
            <w:tcBorders>
              <w:top w:val="single" w:sz="8" w:space="0" w:color="00000A"/>
              <w:bottom w:val="single" w:sz="12" w:space="0" w:color="00000A"/>
            </w:tcBorders>
            <w:shd w:val="clear" w:color="auto" w:fill="auto"/>
          </w:tcPr>
          <w:p w:rsidR="00F87902" w:rsidRDefault="00A519F9">
            <w:pPr>
              <w:jc w:val="center"/>
              <w:rPr>
                <w:rFonts w:ascii="Arial" w:hAnsi="Arial" w:cs="Arial"/>
                <w:b/>
                <w:vertAlign w:val="superscript"/>
              </w:rPr>
            </w:pPr>
            <w:r>
              <w:rPr>
                <w:rFonts w:ascii="Arial" w:hAnsi="Arial" w:cs="Arial"/>
                <w:b/>
              </w:rPr>
              <w:t>Relativo</w:t>
            </w:r>
            <w:r>
              <w:rPr>
                <w:rFonts w:ascii="Arial" w:hAnsi="Arial" w:cs="Arial"/>
                <w:b/>
                <w:vertAlign w:val="superscript"/>
              </w:rPr>
              <w:t>(3)</w:t>
            </w:r>
          </w:p>
        </w:tc>
      </w:tr>
      <w:tr w:rsidR="00F87902">
        <w:trPr>
          <w:jc w:val="center"/>
        </w:trPr>
        <w:tc>
          <w:tcPr>
            <w:tcW w:w="1403" w:type="dxa"/>
            <w:tcBorders>
              <w:top w:val="single" w:sz="12"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4.1</w:t>
            </w:r>
          </w:p>
        </w:tc>
        <w:tc>
          <w:tcPr>
            <w:tcW w:w="1451" w:type="dxa"/>
            <w:tcBorders>
              <w:top w:val="single" w:sz="12" w:space="0" w:color="00000A"/>
            </w:tcBorders>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3.420,9</w:t>
            </w:r>
          </w:p>
        </w:tc>
        <w:tc>
          <w:tcPr>
            <w:tcW w:w="2405" w:type="dxa"/>
            <w:tcBorders>
              <w:top w:val="single" w:sz="12" w:space="0" w:color="00000A"/>
            </w:tcBorders>
            <w:shd w:val="clear" w:color="auto" w:fill="auto"/>
            <w:vAlign w:val="bottom"/>
          </w:tcPr>
          <w:p w:rsidR="00F87902" w:rsidRDefault="00A519F9">
            <w:pPr>
              <w:ind w:left="283" w:right="850"/>
              <w:jc w:val="right"/>
              <w:rPr>
                <w:rFonts w:ascii="Arial" w:hAnsi="Arial" w:cs="Arial"/>
                <w:sz w:val="20"/>
                <w:szCs w:val="20"/>
              </w:rPr>
            </w:pPr>
            <w:r>
              <w:rPr>
                <w:rFonts w:ascii="Arial" w:hAnsi="Arial" w:cs="Arial"/>
                <w:sz w:val="20"/>
                <w:szCs w:val="20"/>
              </w:rPr>
              <w:t>3.772,8</w:t>
            </w:r>
          </w:p>
        </w:tc>
        <w:tc>
          <w:tcPr>
            <w:tcW w:w="236" w:type="dxa"/>
            <w:tcBorders>
              <w:top w:val="single" w:sz="12" w:space="0" w:color="00000A"/>
            </w:tcBorders>
            <w:shd w:val="clear" w:color="auto" w:fill="auto"/>
          </w:tcPr>
          <w:p w:rsidR="00F87902" w:rsidRDefault="00F87902">
            <w:pPr>
              <w:jc w:val="center"/>
              <w:rPr>
                <w:rFonts w:ascii="Arial" w:hAnsi="Arial" w:cs="Arial"/>
                <w:color w:val="0070C0"/>
                <w:sz w:val="20"/>
                <w:szCs w:val="20"/>
              </w:rPr>
            </w:pPr>
          </w:p>
        </w:tc>
        <w:tc>
          <w:tcPr>
            <w:tcW w:w="1773" w:type="dxa"/>
            <w:tcBorders>
              <w:top w:val="single" w:sz="12" w:space="0" w:color="00000A"/>
            </w:tcBorders>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1.123,4</w:t>
            </w:r>
          </w:p>
        </w:tc>
        <w:tc>
          <w:tcPr>
            <w:tcW w:w="1451" w:type="dxa"/>
            <w:tcBorders>
              <w:top w:val="single" w:sz="12" w:space="0" w:color="00000A"/>
            </w:tcBorders>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29,8%</w:t>
            </w:r>
          </w:p>
        </w:tc>
      </w:tr>
      <w:tr w:rsidR="00F87902">
        <w:trPr>
          <w:trHeight w:val="156"/>
          <w:jc w:val="center"/>
        </w:trPr>
        <w:tc>
          <w:tcPr>
            <w:tcW w:w="1403" w:type="dxa"/>
            <w:shd w:val="clear" w:color="auto" w:fill="auto"/>
          </w:tcPr>
          <w:p w:rsidR="00F87902" w:rsidRDefault="00A519F9">
            <w:pPr>
              <w:jc w:val="center"/>
              <w:rPr>
                <w:rFonts w:ascii="Arial" w:hAnsi="Arial" w:cs="Arial"/>
                <w:b/>
                <w:sz w:val="20"/>
                <w:szCs w:val="20"/>
              </w:rPr>
            </w:pPr>
            <w:r>
              <w:rPr>
                <w:rFonts w:ascii="Arial" w:hAnsi="Arial" w:cs="Arial"/>
                <w:b/>
                <w:sz w:val="20"/>
                <w:szCs w:val="20"/>
              </w:rPr>
              <w:t>4.2</w:t>
            </w:r>
          </w:p>
        </w:tc>
        <w:tc>
          <w:tcPr>
            <w:tcW w:w="1451" w:type="dxa"/>
            <w:shd w:val="clear" w:color="auto" w:fill="auto"/>
            <w:vAlign w:val="bottom"/>
          </w:tcPr>
          <w:p w:rsidR="00F87902" w:rsidRDefault="00A519F9">
            <w:pPr>
              <w:ind w:left="283" w:right="283"/>
              <w:jc w:val="right"/>
              <w:rPr>
                <w:rFonts w:ascii="Arial" w:hAnsi="Arial" w:cs="Arial"/>
                <w:sz w:val="20"/>
                <w:szCs w:val="20"/>
              </w:rPr>
            </w:pPr>
            <w:r>
              <w:rPr>
                <w:rFonts w:ascii="Arial" w:hAnsi="Arial" w:cs="Arial"/>
                <w:sz w:val="20"/>
                <w:szCs w:val="20"/>
              </w:rPr>
              <w:t>516,4</w:t>
            </w:r>
          </w:p>
        </w:tc>
        <w:tc>
          <w:tcPr>
            <w:tcW w:w="2405" w:type="dxa"/>
            <w:shd w:val="clear" w:color="auto" w:fill="auto"/>
          </w:tcPr>
          <w:p w:rsidR="00F87902" w:rsidRDefault="00A519F9">
            <w:pPr>
              <w:ind w:left="283" w:right="850"/>
              <w:jc w:val="right"/>
              <w:rPr>
                <w:rFonts w:ascii="Arial" w:hAnsi="Arial" w:cs="Arial"/>
                <w:sz w:val="20"/>
                <w:szCs w:val="20"/>
              </w:rPr>
            </w:pPr>
            <w:r>
              <w:rPr>
                <w:rFonts w:ascii="Arial" w:hAnsi="Arial" w:cs="Arial"/>
                <w:sz w:val="20"/>
                <w:szCs w:val="20"/>
              </w:rPr>
              <w:t>1.517,0</w:t>
            </w:r>
          </w:p>
        </w:tc>
        <w:tc>
          <w:tcPr>
            <w:tcW w:w="236" w:type="dxa"/>
            <w:shd w:val="clear" w:color="auto" w:fill="auto"/>
          </w:tcPr>
          <w:p w:rsidR="00F87902" w:rsidRDefault="00F87902">
            <w:pPr>
              <w:jc w:val="right"/>
              <w:rPr>
                <w:rFonts w:ascii="Arial" w:hAnsi="Arial" w:cs="Arial"/>
                <w:color w:val="0070C0"/>
                <w:sz w:val="20"/>
                <w:szCs w:val="20"/>
              </w:rPr>
            </w:pPr>
          </w:p>
        </w:tc>
        <w:tc>
          <w:tcPr>
            <w:tcW w:w="1773" w:type="dxa"/>
            <w:shd w:val="clear" w:color="auto" w:fill="auto"/>
            <w:vAlign w:val="bottom"/>
          </w:tcPr>
          <w:p w:rsidR="00F87902" w:rsidRDefault="00A519F9">
            <w:pPr>
              <w:ind w:left="283" w:right="397"/>
              <w:jc w:val="right"/>
              <w:rPr>
                <w:rFonts w:ascii="Arial" w:hAnsi="Arial" w:cs="Arial"/>
                <w:sz w:val="20"/>
                <w:szCs w:val="20"/>
              </w:rPr>
            </w:pPr>
            <w:r>
              <w:rPr>
                <w:rFonts w:ascii="Arial" w:hAnsi="Arial" w:cs="Arial"/>
                <w:sz w:val="20"/>
                <w:szCs w:val="20"/>
              </w:rPr>
              <w:t>1.149,6</w:t>
            </w:r>
          </w:p>
        </w:tc>
        <w:tc>
          <w:tcPr>
            <w:tcW w:w="1451" w:type="dxa"/>
            <w:shd w:val="clear" w:color="auto" w:fill="auto"/>
            <w:vAlign w:val="bottom"/>
          </w:tcPr>
          <w:p w:rsidR="00F87902" w:rsidRDefault="00A519F9">
            <w:pPr>
              <w:ind w:left="283" w:right="340"/>
              <w:jc w:val="right"/>
              <w:rPr>
                <w:rFonts w:ascii="Arial" w:hAnsi="Arial" w:cs="Arial"/>
                <w:sz w:val="20"/>
                <w:szCs w:val="20"/>
              </w:rPr>
            </w:pPr>
            <w:r>
              <w:rPr>
                <w:rFonts w:ascii="Arial" w:hAnsi="Arial" w:cs="Arial"/>
                <w:sz w:val="20"/>
                <w:szCs w:val="20"/>
              </w:rPr>
              <w:t>75,8%</w:t>
            </w:r>
          </w:p>
        </w:tc>
      </w:tr>
      <w:tr w:rsidR="00F87902">
        <w:trPr>
          <w:trHeight w:val="156"/>
          <w:jc w:val="center"/>
        </w:trPr>
        <w:tc>
          <w:tcPr>
            <w:tcW w:w="1403" w:type="dxa"/>
            <w:shd w:val="clear" w:color="auto" w:fill="auto"/>
          </w:tcPr>
          <w:p w:rsidR="00F87902" w:rsidRDefault="00F87902">
            <w:pPr>
              <w:jc w:val="center"/>
              <w:rPr>
                <w:rFonts w:ascii="Arial" w:hAnsi="Arial" w:cs="Arial"/>
                <w:b/>
                <w:sz w:val="20"/>
                <w:szCs w:val="20"/>
              </w:rPr>
            </w:pPr>
          </w:p>
        </w:tc>
        <w:tc>
          <w:tcPr>
            <w:tcW w:w="1451" w:type="dxa"/>
            <w:shd w:val="clear" w:color="auto" w:fill="auto"/>
          </w:tcPr>
          <w:p w:rsidR="00F87902" w:rsidRDefault="00F87902">
            <w:pPr>
              <w:ind w:left="283" w:right="283"/>
              <w:jc w:val="right"/>
              <w:rPr>
                <w:rFonts w:ascii="Arial" w:hAnsi="Arial" w:cs="Arial"/>
                <w:bCs/>
                <w:sz w:val="20"/>
                <w:szCs w:val="20"/>
              </w:rPr>
            </w:pPr>
          </w:p>
        </w:tc>
        <w:tc>
          <w:tcPr>
            <w:tcW w:w="2405" w:type="dxa"/>
            <w:shd w:val="clear" w:color="auto" w:fill="auto"/>
          </w:tcPr>
          <w:p w:rsidR="00F87902" w:rsidRDefault="00F87902">
            <w:pPr>
              <w:ind w:left="283" w:right="850"/>
              <w:jc w:val="center"/>
              <w:rPr>
                <w:rFonts w:ascii="Arial" w:hAnsi="Arial" w:cs="Arial"/>
                <w:sz w:val="20"/>
                <w:szCs w:val="20"/>
              </w:rPr>
            </w:pPr>
          </w:p>
        </w:tc>
        <w:tc>
          <w:tcPr>
            <w:tcW w:w="236" w:type="dxa"/>
            <w:shd w:val="clear" w:color="auto" w:fill="auto"/>
          </w:tcPr>
          <w:p w:rsidR="00F87902" w:rsidRDefault="00F87902">
            <w:pPr>
              <w:jc w:val="center"/>
              <w:rPr>
                <w:rFonts w:ascii="Arial" w:hAnsi="Arial" w:cs="Arial"/>
                <w:color w:val="0070C0"/>
                <w:sz w:val="20"/>
                <w:szCs w:val="20"/>
              </w:rPr>
            </w:pPr>
          </w:p>
        </w:tc>
        <w:tc>
          <w:tcPr>
            <w:tcW w:w="1773" w:type="dxa"/>
            <w:shd w:val="clear" w:color="auto" w:fill="auto"/>
            <w:vAlign w:val="bottom"/>
          </w:tcPr>
          <w:p w:rsidR="00F87902" w:rsidRDefault="00F87902">
            <w:pPr>
              <w:ind w:left="283" w:right="397"/>
              <w:rPr>
                <w:rFonts w:ascii="Arial" w:hAnsi="Arial" w:cs="Arial"/>
                <w:sz w:val="20"/>
                <w:szCs w:val="20"/>
              </w:rPr>
            </w:pPr>
          </w:p>
        </w:tc>
        <w:tc>
          <w:tcPr>
            <w:tcW w:w="1451" w:type="dxa"/>
            <w:shd w:val="clear" w:color="auto" w:fill="auto"/>
            <w:vAlign w:val="bottom"/>
          </w:tcPr>
          <w:p w:rsidR="00F87902" w:rsidRDefault="00F87902">
            <w:pPr>
              <w:ind w:left="283" w:right="340"/>
              <w:rPr>
                <w:rFonts w:ascii="Arial" w:hAnsi="Arial" w:cs="Arial"/>
                <w:sz w:val="20"/>
                <w:szCs w:val="20"/>
              </w:rPr>
            </w:pPr>
          </w:p>
        </w:tc>
      </w:tr>
      <w:tr w:rsidR="00F87902">
        <w:trPr>
          <w:jc w:val="center"/>
        </w:trPr>
        <w:tc>
          <w:tcPr>
            <w:tcW w:w="1403" w:type="dxa"/>
            <w:tcBorders>
              <w:top w:val="single" w:sz="18" w:space="0" w:color="00000A"/>
              <w:bottom w:val="single" w:sz="18" w:space="0" w:color="00000A"/>
            </w:tcBorders>
            <w:shd w:val="clear" w:color="auto" w:fill="auto"/>
          </w:tcPr>
          <w:p w:rsidR="00F87902" w:rsidRDefault="00A519F9">
            <w:pPr>
              <w:jc w:val="center"/>
              <w:rPr>
                <w:rFonts w:ascii="Arial" w:hAnsi="Arial" w:cs="Arial"/>
                <w:b/>
                <w:sz w:val="20"/>
                <w:szCs w:val="20"/>
              </w:rPr>
            </w:pPr>
            <w:r>
              <w:rPr>
                <w:rFonts w:ascii="Arial" w:hAnsi="Arial" w:cs="Arial"/>
                <w:b/>
                <w:sz w:val="20"/>
                <w:szCs w:val="20"/>
              </w:rPr>
              <w:t>Objetivo 4</w:t>
            </w:r>
          </w:p>
        </w:tc>
        <w:tc>
          <w:tcPr>
            <w:tcW w:w="1451" w:type="dxa"/>
            <w:tcBorders>
              <w:top w:val="single" w:sz="18" w:space="0" w:color="00000A"/>
              <w:bottom w:val="single" w:sz="18" w:space="0" w:color="00000A"/>
            </w:tcBorders>
            <w:shd w:val="clear" w:color="auto" w:fill="auto"/>
            <w:vAlign w:val="bottom"/>
          </w:tcPr>
          <w:p w:rsidR="00F87902" w:rsidRDefault="00A519F9">
            <w:pPr>
              <w:ind w:left="283" w:right="283"/>
              <w:jc w:val="right"/>
              <w:rPr>
                <w:rFonts w:ascii="Arial" w:hAnsi="Arial" w:cs="Arial"/>
                <w:b/>
                <w:sz w:val="20"/>
                <w:szCs w:val="20"/>
              </w:rPr>
            </w:pPr>
            <w:r>
              <w:rPr>
                <w:rFonts w:ascii="Arial" w:hAnsi="Arial" w:cs="Arial"/>
                <w:b/>
                <w:sz w:val="20"/>
                <w:szCs w:val="20"/>
              </w:rPr>
              <w:t>3.937,3</w:t>
            </w:r>
          </w:p>
        </w:tc>
        <w:tc>
          <w:tcPr>
            <w:tcW w:w="2405" w:type="dxa"/>
            <w:tcBorders>
              <w:top w:val="single" w:sz="18" w:space="0" w:color="00000A"/>
              <w:bottom w:val="single" w:sz="18" w:space="0" w:color="00000A"/>
            </w:tcBorders>
            <w:shd w:val="clear" w:color="auto" w:fill="auto"/>
            <w:vAlign w:val="bottom"/>
          </w:tcPr>
          <w:p w:rsidR="00F87902" w:rsidRDefault="00A519F9">
            <w:pPr>
              <w:ind w:left="283" w:right="850"/>
              <w:jc w:val="right"/>
              <w:rPr>
                <w:rFonts w:ascii="Arial" w:hAnsi="Arial" w:cs="Arial"/>
                <w:b/>
                <w:sz w:val="20"/>
                <w:szCs w:val="20"/>
              </w:rPr>
            </w:pPr>
            <w:r>
              <w:rPr>
                <w:rFonts w:ascii="Arial" w:hAnsi="Arial" w:cs="Arial"/>
                <w:b/>
                <w:sz w:val="20"/>
                <w:szCs w:val="20"/>
              </w:rPr>
              <w:t>5.289,8</w:t>
            </w:r>
          </w:p>
        </w:tc>
        <w:tc>
          <w:tcPr>
            <w:tcW w:w="236" w:type="dxa"/>
            <w:tcBorders>
              <w:top w:val="single" w:sz="18" w:space="0" w:color="00000A"/>
              <w:bottom w:val="single" w:sz="18" w:space="0" w:color="00000A"/>
            </w:tcBorders>
            <w:shd w:val="clear" w:color="auto" w:fill="auto"/>
          </w:tcPr>
          <w:p w:rsidR="00F87902" w:rsidRDefault="00F87902">
            <w:pPr>
              <w:jc w:val="right"/>
              <w:rPr>
                <w:rFonts w:ascii="Arial" w:hAnsi="Arial" w:cs="Arial"/>
                <w:b/>
                <w:color w:val="0070C0"/>
                <w:sz w:val="20"/>
                <w:szCs w:val="20"/>
              </w:rPr>
            </w:pPr>
          </w:p>
        </w:tc>
        <w:tc>
          <w:tcPr>
            <w:tcW w:w="1773" w:type="dxa"/>
            <w:tcBorders>
              <w:top w:val="single" w:sz="18" w:space="0" w:color="00000A"/>
              <w:bottom w:val="single" w:sz="18" w:space="0" w:color="00000A"/>
            </w:tcBorders>
            <w:shd w:val="clear" w:color="auto" w:fill="auto"/>
            <w:vAlign w:val="bottom"/>
          </w:tcPr>
          <w:p w:rsidR="00F87902" w:rsidRDefault="00A519F9">
            <w:pPr>
              <w:ind w:left="283" w:right="397"/>
              <w:jc w:val="right"/>
              <w:rPr>
                <w:rFonts w:ascii="Arial" w:hAnsi="Arial" w:cs="Arial"/>
                <w:b/>
                <w:sz w:val="20"/>
                <w:szCs w:val="20"/>
              </w:rPr>
            </w:pPr>
            <w:r>
              <w:rPr>
                <w:rFonts w:ascii="Arial" w:hAnsi="Arial" w:cs="Arial"/>
                <w:b/>
                <w:sz w:val="20"/>
                <w:szCs w:val="20"/>
              </w:rPr>
              <w:t>2.273,0</w:t>
            </w:r>
          </w:p>
        </w:tc>
        <w:tc>
          <w:tcPr>
            <w:tcW w:w="1451" w:type="dxa"/>
            <w:tcBorders>
              <w:top w:val="single" w:sz="18" w:space="0" w:color="00000A"/>
              <w:bottom w:val="single" w:sz="18" w:space="0" w:color="00000A"/>
            </w:tcBorders>
            <w:shd w:val="clear" w:color="auto" w:fill="auto"/>
            <w:vAlign w:val="bottom"/>
          </w:tcPr>
          <w:p w:rsidR="00F87902" w:rsidRDefault="00A519F9">
            <w:pPr>
              <w:ind w:left="283" w:right="340"/>
              <w:jc w:val="right"/>
              <w:rPr>
                <w:rFonts w:ascii="Arial" w:hAnsi="Arial" w:cs="Arial"/>
                <w:b/>
                <w:sz w:val="20"/>
                <w:szCs w:val="20"/>
              </w:rPr>
            </w:pPr>
            <w:r>
              <w:rPr>
                <w:rFonts w:ascii="Arial" w:hAnsi="Arial" w:cs="Arial"/>
                <w:b/>
                <w:sz w:val="20"/>
                <w:szCs w:val="20"/>
              </w:rPr>
              <w:t>43,0%</w:t>
            </w:r>
          </w:p>
        </w:tc>
      </w:tr>
    </w:tbl>
    <w:p w:rsidR="00F87902" w:rsidRDefault="00A519F9">
      <w:pPr>
        <w:jc w:val="both"/>
        <w:rPr>
          <w:rFonts w:ascii="Arial" w:hAnsi="Arial" w:cs="Arial"/>
          <w:sz w:val="18"/>
        </w:rPr>
      </w:pPr>
      <w:r>
        <w:rPr>
          <w:rFonts w:ascii="Arial" w:hAnsi="Arial" w:cs="Arial"/>
          <w:sz w:val="18"/>
        </w:rPr>
        <w:t>(1): Presupuesto aprobado para el 2015, en presentación realizada el 25 de setiembre del 2014.</w:t>
      </w:r>
    </w:p>
    <w:p w:rsidR="00F87902" w:rsidRDefault="00A519F9">
      <w:pPr>
        <w:jc w:val="both"/>
        <w:rPr>
          <w:rFonts w:ascii="Arial" w:hAnsi="Arial" w:cs="Arial"/>
          <w:sz w:val="18"/>
        </w:rPr>
      </w:pPr>
      <w:r>
        <w:rPr>
          <w:rFonts w:ascii="Arial" w:hAnsi="Arial" w:cs="Arial"/>
          <w:sz w:val="18"/>
        </w:rPr>
        <w:t>(2): Presupuesto modificado al 31 de diciembre del 2015.</w:t>
      </w:r>
    </w:p>
    <w:p w:rsidR="00F87902" w:rsidRDefault="00A519F9">
      <w:pPr>
        <w:jc w:val="both"/>
        <w:rPr>
          <w:rFonts w:ascii="Arial" w:hAnsi="Arial" w:cs="Arial"/>
          <w:sz w:val="18"/>
        </w:rPr>
      </w:pPr>
      <w:r>
        <w:rPr>
          <w:rFonts w:ascii="Arial" w:hAnsi="Arial" w:cs="Arial"/>
          <w:sz w:val="18"/>
        </w:rPr>
        <w:t>(3): Relación de ejecución con el presupuesto modificado.</w:t>
      </w:r>
    </w:p>
    <w:p w:rsidR="00F87902" w:rsidRDefault="00F87902">
      <w:pPr>
        <w:jc w:val="both"/>
        <w:rPr>
          <w:rFonts w:ascii="Arial" w:hAnsi="Arial" w:cs="Arial"/>
          <w:sz w:val="18"/>
        </w:rPr>
      </w:pPr>
    </w:p>
    <w:p w:rsidR="00F87902" w:rsidRDefault="00F87902">
      <w:pPr>
        <w:jc w:val="both"/>
        <w:rPr>
          <w:rFonts w:ascii="Arial" w:hAnsi="Arial" w:cs="Arial"/>
          <w:b/>
          <w:i/>
          <w:sz w:val="18"/>
          <w:szCs w:val="18"/>
        </w:rPr>
      </w:pPr>
    </w:p>
    <w:p w:rsidR="00F87902" w:rsidRDefault="00A519F9">
      <w:pPr>
        <w:spacing w:line="360" w:lineRule="auto"/>
        <w:jc w:val="both"/>
        <w:rPr>
          <w:rFonts w:ascii="Arial" w:hAnsi="Arial" w:cs="Arial"/>
          <w:b/>
          <w:i/>
          <w:sz w:val="18"/>
          <w:szCs w:val="18"/>
        </w:rPr>
      </w:pPr>
      <w:r>
        <w:rPr>
          <w:rFonts w:ascii="Arial" w:hAnsi="Arial" w:cs="Arial"/>
          <w:b/>
          <w:i/>
          <w:sz w:val="18"/>
          <w:szCs w:val="18"/>
        </w:rPr>
        <w:t>Fuente: Apeuna, con datos del Programa de Gestión Financiera.</w:t>
      </w:r>
    </w:p>
    <w:p w:rsidR="00F87902" w:rsidRDefault="00F87902">
      <w:pPr>
        <w:ind w:left="708"/>
        <w:jc w:val="both"/>
        <w:rPr>
          <w:rFonts w:ascii="Arial" w:hAnsi="Arial" w:cs="Arial"/>
        </w:rPr>
      </w:pPr>
    </w:p>
    <w:p w:rsidR="00F87902" w:rsidRDefault="00F87902">
      <w:pPr>
        <w:ind w:left="708"/>
        <w:jc w:val="both"/>
        <w:rPr>
          <w:rFonts w:ascii="Arial" w:hAnsi="Arial" w:cs="Arial"/>
        </w:rPr>
      </w:pPr>
    </w:p>
    <w:p w:rsidR="00F87902" w:rsidRDefault="00F87902">
      <w:pPr>
        <w:ind w:left="708"/>
        <w:jc w:val="both"/>
        <w:rPr>
          <w:rFonts w:ascii="Arial" w:hAnsi="Arial" w:cs="Arial"/>
        </w:rPr>
      </w:pPr>
    </w:p>
    <w:p w:rsidR="00F87902" w:rsidRDefault="00A519F9">
      <w:pPr>
        <w:ind w:left="708"/>
        <w:jc w:val="both"/>
        <w:rPr>
          <w:rFonts w:ascii="Arial" w:hAnsi="Arial" w:cs="Arial"/>
        </w:rPr>
      </w:pPr>
      <w:r>
        <w:rPr>
          <w:rFonts w:ascii="Arial" w:hAnsi="Arial" w:cs="Arial"/>
        </w:rPr>
        <w:t xml:space="preserve">A continuación se muestra el estado de avance de las obras con presupuestos de los años 2012, 2013, 2014 y 2015: </w:t>
      </w:r>
    </w:p>
    <w:p w:rsidR="00F87902" w:rsidRDefault="00F87902">
      <w:pPr>
        <w:ind w:left="708"/>
        <w:jc w:val="both"/>
        <w:rPr>
          <w:rFonts w:ascii="Arial" w:hAnsi="Arial" w:cs="Arial"/>
        </w:rPr>
      </w:pPr>
    </w:p>
    <w:p w:rsidR="00F87902" w:rsidRDefault="00F87902">
      <w:pPr>
        <w:ind w:left="708"/>
        <w:jc w:val="both"/>
        <w:rPr>
          <w:rFonts w:ascii="Arial" w:hAnsi="Arial" w:cs="Arial"/>
        </w:rPr>
      </w:pPr>
    </w:p>
    <w:p w:rsidR="00F87902" w:rsidRDefault="00A519F9">
      <w:pPr>
        <w:jc w:val="center"/>
        <w:rPr>
          <w:rFonts w:ascii="Arial" w:hAnsi="Arial" w:cs="Arial"/>
          <w:b/>
        </w:rPr>
      </w:pPr>
      <w:r>
        <w:br w:type="page"/>
      </w:r>
    </w:p>
    <w:p w:rsidR="00F87902" w:rsidRDefault="00A519F9">
      <w:pPr>
        <w:jc w:val="center"/>
      </w:pPr>
      <w:r>
        <w:rPr>
          <w:rFonts w:ascii="Arial" w:hAnsi="Arial" w:cs="Arial"/>
          <w:b/>
        </w:rPr>
        <w:lastRenderedPageBreak/>
        <w:t>Obras presupuesto 2012</w:t>
      </w:r>
    </w:p>
    <w:p w:rsidR="00F87902" w:rsidRDefault="00A519F9">
      <w:pPr>
        <w:jc w:val="center"/>
        <w:rPr>
          <w:rFonts w:ascii="Arial" w:hAnsi="Arial" w:cs="Arial"/>
          <w:b/>
        </w:rPr>
      </w:pPr>
      <w:r>
        <w:rPr>
          <w:rFonts w:ascii="Arial" w:hAnsi="Arial" w:cs="Arial"/>
          <w:b/>
        </w:rPr>
        <w:t>(Concluidas o en ejecución en 2012-2013)</w:t>
      </w:r>
    </w:p>
    <w:p w:rsidR="00F87902" w:rsidRDefault="00F87902">
      <w:pPr>
        <w:jc w:val="center"/>
        <w:rPr>
          <w:rFonts w:ascii="Arial" w:hAnsi="Arial" w:cs="Arial"/>
          <w:b/>
        </w:rPr>
      </w:pPr>
    </w:p>
    <w:tbl>
      <w:tblPr>
        <w:tblW w:w="855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3938"/>
        <w:gridCol w:w="1050"/>
        <w:gridCol w:w="1984"/>
        <w:gridCol w:w="1585"/>
      </w:tblGrid>
      <w:tr w:rsidR="00F87902">
        <w:trPr>
          <w:tblHeade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Obra</w:t>
            </w:r>
          </w:p>
        </w:tc>
        <w:tc>
          <w:tcPr>
            <w:tcW w:w="1050"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rPr>
                <w:rFonts w:ascii="Arial" w:hAnsi="Arial" w:cs="Arial"/>
                <w:b/>
                <w:bCs/>
                <w:sz w:val="20"/>
                <w:szCs w:val="20"/>
              </w:rPr>
            </w:pPr>
            <w:r>
              <w:rPr>
                <w:rFonts w:ascii="Arial" w:hAnsi="Arial" w:cs="Arial"/>
                <w:b/>
                <w:bCs/>
                <w:sz w:val="20"/>
                <w:szCs w:val="20"/>
              </w:rPr>
              <w:t xml:space="preserve">Grado de avance </w:t>
            </w:r>
          </w:p>
        </w:tc>
        <w:tc>
          <w:tcPr>
            <w:tcW w:w="1984"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Monto del contrato</w:t>
            </w:r>
          </w:p>
        </w:tc>
        <w:tc>
          <w:tcPr>
            <w:tcW w:w="1585"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Estado al 31/12/2012</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piso y demarcación del gimnasio de la Escuela Ciencias del movimiento humano y calidad de vida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₡22.000.000,00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both"/>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de baterías de baños y Asociación CIDE-</w:t>
            </w:r>
            <w:r>
              <w:rPr>
                <w:rFonts w:ascii="Arial" w:hAnsi="Arial" w:cs="Arial"/>
                <w:i/>
                <w:sz w:val="20"/>
                <w:szCs w:val="20"/>
              </w:rPr>
              <w:t>Cidenaf</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₡75.870.547,00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 Etapa readecuación Centro de Estudios Generales Ley 8228</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 xml:space="preserve">100%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₡3.972.155,00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Suministro e instalación de lámpara de emergencia en CIDE</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₡4.387.058,00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de puertas de emergencia en edificio de Ciencias Sociales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₡7.630.048,00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II Etapa readecuaciones en campus Sarapiquí. Ley 8228</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₡105.057.330,00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especiales en sodas institucionales: Facultad Ciencias de la Tierra y el Mar, Escuela Ciencias del movimiento humano y Pérez Zeledón (Leyes 7600, 8228)</w:t>
            </w:r>
          </w:p>
          <w:p w:rsidR="00F87902" w:rsidRDefault="00F87902">
            <w:pPr>
              <w:rPr>
                <w:rFonts w:ascii="Arial" w:hAnsi="Arial" w:cs="Arial"/>
                <w:b/>
                <w:i/>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₡32.376.400,00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Demolición antigua Defensoría del Estudiante, aulas y construcción de muro de contención </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₡8.140.000,00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de las residencias estudiantiles Calderón y Claudio Vásquez, Ley 7600</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₡37.685.000,00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II Etapa adecuación Edificio Administrativo Ley 8828</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₡261.913.949,00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Servicio mudanza documentos Edificio Administrativo</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₡4.025.360,00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luminaria emergencia campus Nicoya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₡3.190.588,00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espaciales Leyes 7600 y 8228  B.J.G.M.</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₡130.816.254,13</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interna y alrededores soda Facultad de Ciencias Exactas y Naturales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₡37.366.474,45</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pasillo Escuela de Danza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₡37.402.000,00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Demolición edificio frente Estación Biología Marina en Puntarenas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lastRenderedPageBreak/>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₡6.450.000,00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 xml:space="preserve">Sistema detección contra incendio </w:t>
            </w:r>
            <w:r>
              <w:rPr>
                <w:rFonts w:ascii="Arial" w:hAnsi="Arial" w:cs="Arial"/>
                <w:i/>
                <w:sz w:val="20"/>
                <w:szCs w:val="20"/>
              </w:rPr>
              <w:t>FCTM</w:t>
            </w:r>
            <w:r>
              <w:rPr>
                <w:rFonts w:ascii="Arial" w:hAnsi="Arial" w:cs="Arial"/>
                <w:sz w:val="20"/>
                <w:szCs w:val="20"/>
              </w:rPr>
              <w:t xml:space="preserve"> (Escuela Ciencias Agrarias y Escuela </w:t>
            </w:r>
          </w:p>
          <w:p w:rsidR="00F87902" w:rsidRDefault="00A519F9">
            <w:pPr>
              <w:rPr>
                <w:rFonts w:ascii="Arial" w:hAnsi="Arial" w:cs="Arial"/>
                <w:sz w:val="20"/>
                <w:szCs w:val="20"/>
              </w:rPr>
            </w:pPr>
            <w:r>
              <w:rPr>
                <w:rFonts w:ascii="Arial" w:hAnsi="Arial" w:cs="Arial"/>
                <w:sz w:val="20"/>
                <w:szCs w:val="20"/>
              </w:rPr>
              <w:t>Ciencias Geográficas)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₡12.772.599,25</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de puertas de salida de emergencia y sistema de detección contra incendio en la Facultad de Ciencias Exactas y Naturales – FCEN</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₡42.265.406,61</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Rampa de acceso a Escuela de Biología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₡4.146.000,00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Demolición del módulo 1 del </w:t>
            </w:r>
            <w:r>
              <w:rPr>
                <w:rFonts w:ascii="Arial" w:hAnsi="Arial" w:cs="Arial"/>
                <w:i/>
                <w:sz w:val="20"/>
                <w:szCs w:val="20"/>
              </w:rPr>
              <w:t>Ecmar</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₡7.440.000,00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Adecuación de puertas de emergencia en edificio de la Facultad de Ciencias Sociales</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₡7.630.048,00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Obras de conservación patrimonial Museo de Cultura Popular, Ley 7555</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₡3.340.985,00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del Auditorio de la Facultad de Filosofía y Letras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₡19.412.300,00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i/>
                <w:sz w:val="20"/>
                <w:szCs w:val="20"/>
              </w:rPr>
              <w:t>Por incumplimiento de la empresa adjudicada. Se contrató otra en el 2014.</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Adecuación de las residencias estudiantiles Rafael A. Calderón y Claudio Vásquez</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₡37.685.000,00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interna y alrededores de la soda FCEN</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₡37.366.474,45</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del parqueo y fachada principal de las residencias Calderón</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₡14.798.000,00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salida de emergencia de laboratorios, Escuela Medicina Veterinaria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₡24.733.004,00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Película de seguridad, pasillo techado, rampa de acceso a soda, Escuela Medicina Veterinaria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55%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₡28.400.000,00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16"/>
                <w:szCs w:val="16"/>
              </w:rPr>
            </w:pPr>
            <w:r>
              <w:rPr>
                <w:rFonts w:ascii="Arial" w:hAnsi="Arial" w:cs="Arial"/>
                <w:i/>
                <w:sz w:val="16"/>
                <w:szCs w:val="16"/>
              </w:rPr>
              <w:t>En nueva licitación (incumplimiento de la empresa)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del laboratorio de Fisiología, Escuela Ciencias del Movimiento Humano</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₡29.511.804,00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de luminarias, gimnasio  Escuela Ciencias del Movimiento Humano</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95%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₡11.080.932,44</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16"/>
                <w:szCs w:val="16"/>
              </w:rPr>
              <w:t>En nueva licitación (incumplimiento de la empresa)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sistema de tuberías para gas LPG en laboratorio Escuela Medicina Veterinaria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₡5.030.000,00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 xml:space="preserve">Suministros e instalación de lámparas de emergencia en edificios del </w:t>
            </w:r>
            <w:r>
              <w:rPr>
                <w:rFonts w:ascii="Arial" w:hAnsi="Arial" w:cs="Arial"/>
                <w:i/>
                <w:sz w:val="20"/>
                <w:szCs w:val="20"/>
              </w:rPr>
              <w:t>CIDE</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₡4.387.058,00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Ampliación y remodelación de pasillo Escuela de Danza y Teatro</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₡37.402.000,00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Construcción de </w:t>
            </w:r>
            <w:r>
              <w:rPr>
                <w:rFonts w:ascii="Arial" w:hAnsi="Arial" w:cs="Arial"/>
                <w:i/>
                <w:sz w:val="20"/>
                <w:szCs w:val="20"/>
              </w:rPr>
              <w:t>deck</w:t>
            </w:r>
            <w:r>
              <w:rPr>
                <w:rFonts w:ascii="Arial" w:hAnsi="Arial" w:cs="Arial"/>
                <w:sz w:val="20"/>
                <w:szCs w:val="20"/>
              </w:rPr>
              <w:t xml:space="preserve"> para el </w:t>
            </w:r>
            <w:r>
              <w:rPr>
                <w:rFonts w:ascii="Arial" w:hAnsi="Arial" w:cs="Arial"/>
                <w:i/>
                <w:sz w:val="20"/>
                <w:szCs w:val="20"/>
              </w:rPr>
              <w:t>Cidea</w:t>
            </w:r>
            <w:r>
              <w:rPr>
                <w:rFonts w:ascii="Arial" w:hAnsi="Arial" w:cs="Arial"/>
                <w:sz w:val="20"/>
                <w:szCs w:val="20"/>
              </w:rPr>
              <w:t xml:space="preserve"> campus Omar Dengo, finca 3</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₡9.116.500,00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Adecuaciones en salidas de emergencia en el </w:t>
            </w:r>
            <w:r>
              <w:rPr>
                <w:rFonts w:ascii="Arial" w:hAnsi="Arial" w:cs="Arial"/>
                <w:i/>
                <w:sz w:val="20"/>
                <w:szCs w:val="20"/>
              </w:rPr>
              <w:t>Ovsicori</w:t>
            </w:r>
            <w:r>
              <w:rPr>
                <w:rFonts w:ascii="Arial" w:hAnsi="Arial" w:cs="Arial"/>
                <w:sz w:val="20"/>
                <w:szCs w:val="20"/>
              </w:rPr>
              <w:t xml:space="preserve">, en el </w:t>
            </w:r>
            <w:r>
              <w:rPr>
                <w:rFonts w:ascii="Arial" w:hAnsi="Arial" w:cs="Arial"/>
                <w:i/>
                <w:sz w:val="20"/>
                <w:szCs w:val="20"/>
              </w:rPr>
              <w:t>Inisefor</w:t>
            </w:r>
            <w:r>
              <w:rPr>
                <w:rFonts w:ascii="Arial" w:hAnsi="Arial" w:cs="Arial"/>
                <w:sz w:val="20"/>
                <w:szCs w:val="20"/>
              </w:rPr>
              <w:t xml:space="preserve"> y en el </w:t>
            </w:r>
            <w:r>
              <w:rPr>
                <w:rFonts w:ascii="Arial" w:hAnsi="Arial" w:cs="Arial"/>
                <w:i/>
                <w:sz w:val="20"/>
                <w:szCs w:val="20"/>
              </w:rPr>
              <w:t>Cinat</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₡16.034.654,10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Ampliación planta de procesamiento de productos lácteos caprinos de la Finca Santa Lucía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₡22.970.082,00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de sala de conferencias en el Centro de investigaciones apícolas tropicales (</w:t>
            </w:r>
            <w:r>
              <w:rPr>
                <w:rFonts w:ascii="Arial" w:hAnsi="Arial" w:cs="Arial"/>
                <w:i/>
                <w:sz w:val="20"/>
                <w:szCs w:val="20"/>
              </w:rPr>
              <w:t>Cinat</w:t>
            </w:r>
            <w:r>
              <w:rPr>
                <w:rFonts w:ascii="Arial" w:hAnsi="Arial" w:cs="Arial"/>
                <w:sz w:val="20"/>
                <w:szCs w:val="20"/>
              </w:rPr>
              <w:t>)</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₡32.235.150,00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Sistema de detección contra incendios Facultad de Tierra y Mar</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₡12.772.599,25</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Biblioteca Especializada FTM</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₡64.400.000,00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16"/>
                <w:szCs w:val="16"/>
              </w:rPr>
            </w:pPr>
            <w:r>
              <w:rPr>
                <w:rFonts w:ascii="Arial" w:hAnsi="Arial" w:cs="Arial"/>
                <w:i/>
                <w:sz w:val="16"/>
                <w:szCs w:val="16"/>
              </w:rPr>
              <w:t>Inició en dic. 2014 (incumplimiento de la empresa)*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de lámparas de emergencia y película de seguridad</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₡5.285.000,00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Cancha de fútbol Nicoya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₡6.954.000,00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de salidas de emergencia en el campus Coto</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₡3.240.000,00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del Centro de Arte y Cultura de Pérez Zeledón</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₡687.849.685,50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Adecuaciones espaciales Ley 7600 y 8228 de la Biblioteca Joaquín García Monge</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₡130.816.254,13</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Obras de mitigación río Pirro, II etapa</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₡192.947.000,00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Señalética (campus Omar Dengo, campus Coto, campus Pérez Zeledón y campus Sarapiquí)</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₡46.816.000,00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Departamento de Publicaciones (recepción y baños)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₡16.857.888,00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Construcción de un área de estacionamiento con capacidad para 32 </w:t>
            </w:r>
            <w:r>
              <w:rPr>
                <w:rFonts w:ascii="Arial" w:hAnsi="Arial" w:cs="Arial"/>
                <w:sz w:val="20"/>
                <w:szCs w:val="20"/>
              </w:rPr>
              <w:lastRenderedPageBreak/>
              <w:t>vehículos, junto a la sección de Transportes</w:t>
            </w:r>
          </w:p>
          <w:p w:rsidR="00F87902" w:rsidRDefault="00F87902">
            <w:pPr>
              <w:rPr>
                <w:rFonts w:ascii="Arial" w:hAnsi="Arial" w:cs="Arial"/>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lastRenderedPageBreak/>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₡29.340.000,00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Construcción de una caseta de vigilancia en la Plaza de la Diversidad</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₡8.609.830,00</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b/>
                <w:i/>
                <w:sz w:val="20"/>
                <w:szCs w:val="20"/>
              </w:rPr>
            </w:pPr>
            <w:r>
              <w:rPr>
                <w:rFonts w:ascii="Arial" w:hAnsi="Arial" w:cs="Arial"/>
                <w:b/>
                <w:i/>
                <w:sz w:val="20"/>
                <w:szCs w:val="20"/>
              </w:rPr>
              <w:t xml:space="preserve">         Totales</w:t>
            </w:r>
          </w:p>
        </w:tc>
        <w:tc>
          <w:tcPr>
            <w:tcW w:w="105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b/>
                <w:sz w:val="20"/>
                <w:szCs w:val="2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i/>
                <w:sz w:val="20"/>
                <w:szCs w:val="20"/>
              </w:rPr>
              <w:t>₡2.391.929.418,31</w:t>
            </w:r>
          </w:p>
        </w:tc>
        <w:tc>
          <w:tcPr>
            <w:tcW w:w="15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i/>
                <w:sz w:val="20"/>
                <w:szCs w:val="20"/>
              </w:rPr>
            </w:pPr>
          </w:p>
        </w:tc>
      </w:tr>
    </w:tbl>
    <w:p w:rsidR="00F87902" w:rsidRDefault="00F87902">
      <w:pPr>
        <w:ind w:left="708"/>
        <w:jc w:val="both"/>
        <w:rPr>
          <w:rFonts w:ascii="Arial" w:hAnsi="Arial" w:cs="Arial"/>
          <w:color w:val="0070C0"/>
          <w:sz w:val="18"/>
          <w:szCs w:val="18"/>
        </w:rPr>
      </w:pPr>
    </w:p>
    <w:p w:rsidR="00F87902" w:rsidRDefault="00A519F9">
      <w:pPr>
        <w:jc w:val="both"/>
        <w:rPr>
          <w:rFonts w:ascii="Arial" w:hAnsi="Arial" w:cs="Arial"/>
          <w:sz w:val="18"/>
          <w:szCs w:val="18"/>
        </w:rPr>
      </w:pPr>
      <w:r>
        <w:rPr>
          <w:rFonts w:ascii="Arial" w:hAnsi="Arial" w:cs="Arial"/>
          <w:sz w:val="18"/>
          <w:szCs w:val="18"/>
        </w:rPr>
        <w:t>* Aunque se presupuestó con recursos del 2012, los inconvenientes en su ejecución condujeron a que esta iniciara con recursos presupuestarios del 2014.</w:t>
      </w:r>
    </w:p>
    <w:p w:rsidR="00F87902" w:rsidRDefault="00F87902">
      <w:pPr>
        <w:rPr>
          <w:rFonts w:ascii="Arial" w:hAnsi="Arial" w:cs="Arial"/>
          <w:b/>
          <w:i/>
          <w:sz w:val="20"/>
          <w:szCs w:val="20"/>
        </w:rPr>
      </w:pPr>
    </w:p>
    <w:p w:rsidR="00F87902" w:rsidRDefault="00A519F9">
      <w:r>
        <w:rPr>
          <w:rFonts w:ascii="Arial" w:hAnsi="Arial" w:cs="Arial"/>
          <w:b/>
          <w:i/>
          <w:sz w:val="20"/>
          <w:szCs w:val="20"/>
        </w:rPr>
        <w:t>Fuente: Prodemi, Vicerrectoría de Administración.</w:t>
      </w:r>
    </w:p>
    <w:p w:rsidR="00F87902" w:rsidRDefault="00F87902">
      <w:pPr>
        <w:rPr>
          <w:rFonts w:ascii="Arial" w:hAnsi="Arial" w:cs="Arial"/>
          <w:b/>
          <w:i/>
          <w:color w:val="0070C0"/>
          <w:sz w:val="20"/>
          <w:szCs w:val="20"/>
        </w:rPr>
      </w:pPr>
    </w:p>
    <w:p w:rsidR="00F87902" w:rsidRDefault="00F87902">
      <w:pPr>
        <w:rPr>
          <w:rFonts w:ascii="Arial" w:hAnsi="Arial" w:cs="Arial"/>
          <w:b/>
          <w:i/>
          <w:sz w:val="20"/>
          <w:szCs w:val="20"/>
        </w:rPr>
      </w:pPr>
    </w:p>
    <w:p w:rsidR="00F87902" w:rsidRDefault="00F87902">
      <w:pPr>
        <w:rPr>
          <w:rFonts w:ascii="Arial" w:hAnsi="Arial" w:cs="Arial"/>
          <w:b/>
          <w:i/>
          <w:sz w:val="20"/>
          <w:szCs w:val="20"/>
        </w:rPr>
      </w:pPr>
    </w:p>
    <w:p w:rsidR="00F87902" w:rsidRDefault="00F87902">
      <w:pPr>
        <w:rPr>
          <w:rFonts w:ascii="Arial" w:hAnsi="Arial" w:cs="Arial"/>
          <w:b/>
          <w:i/>
          <w:sz w:val="20"/>
          <w:szCs w:val="20"/>
        </w:rPr>
      </w:pPr>
    </w:p>
    <w:p w:rsidR="00F87902" w:rsidRDefault="00A519F9">
      <w:pPr>
        <w:jc w:val="center"/>
        <w:rPr>
          <w:rFonts w:ascii="Arial" w:hAnsi="Arial" w:cs="Arial"/>
          <w:b/>
        </w:rPr>
      </w:pPr>
      <w:r>
        <w:rPr>
          <w:rFonts w:ascii="Arial" w:hAnsi="Arial" w:cs="Arial"/>
          <w:b/>
        </w:rPr>
        <w:t>Obras presupuesto 2013</w:t>
      </w:r>
    </w:p>
    <w:p w:rsidR="00F87902" w:rsidRDefault="00A519F9">
      <w:pPr>
        <w:jc w:val="center"/>
        <w:rPr>
          <w:rFonts w:ascii="Arial" w:hAnsi="Arial" w:cs="Arial"/>
          <w:b/>
        </w:rPr>
      </w:pPr>
      <w:r>
        <w:rPr>
          <w:rFonts w:ascii="Arial" w:hAnsi="Arial" w:cs="Arial"/>
          <w:b/>
        </w:rPr>
        <w:t>(Concluidas o en ejecución en 2013-2014)</w:t>
      </w:r>
    </w:p>
    <w:p w:rsidR="00F87902" w:rsidRDefault="00F87902">
      <w:pPr>
        <w:jc w:val="center"/>
        <w:rPr>
          <w:rFonts w:ascii="Arial" w:hAnsi="Arial" w:cs="Arial"/>
          <w:b/>
        </w:rPr>
      </w:pPr>
    </w:p>
    <w:tbl>
      <w:tblPr>
        <w:tblW w:w="86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3938"/>
        <w:gridCol w:w="1278"/>
        <w:gridCol w:w="2183"/>
        <w:gridCol w:w="1271"/>
      </w:tblGrid>
      <w:tr w:rsidR="00F87902">
        <w:trPr>
          <w:tblHeade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Obra</w:t>
            </w:r>
          </w:p>
        </w:tc>
        <w:tc>
          <w:tcPr>
            <w:tcW w:w="1278"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rPr>
                <w:rFonts w:ascii="Arial" w:hAnsi="Arial" w:cs="Arial"/>
                <w:b/>
                <w:bCs/>
                <w:sz w:val="20"/>
                <w:szCs w:val="20"/>
              </w:rPr>
            </w:pPr>
            <w:r>
              <w:rPr>
                <w:rFonts w:ascii="Arial" w:hAnsi="Arial" w:cs="Arial"/>
                <w:b/>
                <w:bCs/>
                <w:sz w:val="20"/>
                <w:szCs w:val="20"/>
              </w:rPr>
              <w:t xml:space="preserve">Grado de avance </w:t>
            </w:r>
          </w:p>
        </w:tc>
        <w:tc>
          <w:tcPr>
            <w:tcW w:w="2183"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Monto del contrato</w:t>
            </w:r>
          </w:p>
        </w:tc>
        <w:tc>
          <w:tcPr>
            <w:tcW w:w="1271"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Estado al 31/12/2015</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de puertas de emergencia en el Teatro Atahualpa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₡3.407.410,00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both"/>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de acera frente a Finca Santa Lucía (atendiendo orden municipal)</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₡9.884.100,00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Diseño Laboratorio Cartografía Escuela de Geografía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 xml:space="preserve">100% </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₡20.339.705,00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87902" w:rsidRDefault="00A519F9">
            <w:pPr>
              <w:jc w:val="both"/>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invernadero Escuela de Ciencias Agrarias</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₡20.750.000,00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Sustitución de paredes dañadas Decanato FCTM</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₡11.709.000,00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Remodelación de Laboratorio de Suelos para acreditación </w:t>
            </w:r>
            <w:r>
              <w:rPr>
                <w:rFonts w:ascii="Arial" w:hAnsi="Arial" w:cs="Arial"/>
                <w:i/>
                <w:sz w:val="20"/>
                <w:szCs w:val="20"/>
              </w:rPr>
              <w:t>(Inisefor</w:t>
            </w:r>
            <w:r>
              <w:rPr>
                <w:rFonts w:ascii="Arial" w:hAnsi="Arial" w:cs="Arial"/>
                <w:sz w:val="20"/>
                <w:szCs w:val="20"/>
              </w:rPr>
              <w:t>)</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₡6.990.120,00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Reubicación de bodega y revista ABRA en el edificio 1 Ciencias Sociales</w:t>
            </w:r>
          </w:p>
          <w:p w:rsidR="00F87902" w:rsidRDefault="00F87902">
            <w:pPr>
              <w:rPr>
                <w:rFonts w:ascii="Arial" w:hAnsi="Arial" w:cs="Arial"/>
                <w:b/>
                <w:i/>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₡8.769.300,00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Acceso a las instalaciones de la Biblioteca  Infantil</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₡3.925.925,00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División de 6 aulas en Filosofía y Letras</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₡23.221.000,00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de Auditorio Facultad Filosofía y Letras</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₡18.654.200,00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salidas de emergencia en dormitorios Estación de Biología Marina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₡2.150.000,00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 xml:space="preserve">Adecuación puertas laboratorio Química General I y II </w:t>
            </w:r>
            <w:r>
              <w:rPr>
                <w:rFonts w:ascii="Arial" w:hAnsi="Arial" w:cs="Arial"/>
                <w:i/>
                <w:sz w:val="20"/>
                <w:szCs w:val="20"/>
              </w:rPr>
              <w:t>Lafit</w:t>
            </w:r>
            <w:r>
              <w:rPr>
                <w:rFonts w:ascii="Arial" w:hAnsi="Arial" w:cs="Arial"/>
                <w:sz w:val="20"/>
                <w:szCs w:val="20"/>
              </w:rPr>
              <w:t xml:space="preserve">, </w:t>
            </w:r>
            <w:r>
              <w:rPr>
                <w:rFonts w:ascii="Arial" w:hAnsi="Arial" w:cs="Arial"/>
                <w:i/>
                <w:sz w:val="20"/>
                <w:szCs w:val="20"/>
              </w:rPr>
              <w:t>Lapronep</w:t>
            </w:r>
            <w:r>
              <w:rPr>
                <w:rFonts w:ascii="Arial" w:hAnsi="Arial" w:cs="Arial"/>
                <w:sz w:val="20"/>
                <w:szCs w:val="20"/>
              </w:rPr>
              <w:t xml:space="preserve"> y </w:t>
            </w:r>
            <w:r>
              <w:rPr>
                <w:rFonts w:ascii="Arial" w:hAnsi="Arial" w:cs="Arial"/>
                <w:i/>
                <w:sz w:val="20"/>
                <w:szCs w:val="20"/>
              </w:rPr>
              <w:t>Lideteq</w:t>
            </w:r>
            <w:r>
              <w:rPr>
                <w:rFonts w:ascii="Arial" w:hAnsi="Arial" w:cs="Arial"/>
                <w:sz w:val="20"/>
                <w:szCs w:val="20"/>
              </w:rPr>
              <w:t>Escuela de Química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₡4.370.000,00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1° etapa instalación puertas salidas de emergencia laboratorios de Ciencias Agrarias y Ciencias Biológicas</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₡38.539.528,00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montacargas Escuela de Informática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₡32.360.000,00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Adecuación bodega reactivos químicos Escuela de Biología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₡8.204.300,00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Sustitución de paredes dañadas por plagas (termitas) FCEN</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₡33.370.000,00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Estudio estabilidad estructura y reparación cuarto de máquinas Estación Biología Marina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₡9.570.000,00*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Construcción muro de retención en módulo 4 </w:t>
            </w:r>
            <w:r>
              <w:rPr>
                <w:rFonts w:ascii="Arial" w:hAnsi="Arial" w:cs="Arial"/>
                <w:i/>
                <w:sz w:val="20"/>
                <w:szCs w:val="20"/>
              </w:rPr>
              <w:t>Ecmar</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i/>
                <w:sz w:val="20"/>
                <w:szCs w:val="20"/>
              </w:rPr>
            </w:pPr>
            <w:r>
              <w:rPr>
                <w:rFonts w:ascii="Arial" w:hAnsi="Arial" w:cs="Arial"/>
                <w:sz w:val="20"/>
                <w:szCs w:val="20"/>
              </w:rPr>
              <w:t>₡10.000.000,00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Estudio técnico de estabilidad de taludes de calle oeste Escuela Medicina Veterinaria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₡6.625.000,00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sala rayos X Escuela Medicina Veterinaria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₡28.571.257,60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bodega de reactivos químicos Escuela Medicina Veterinaria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₡35.667.891,00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Diseño y construcción planta de tratamiento</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85%</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₡170.500.000,00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soda Escuela Medicina Veterinaria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₡55.657.017,00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Diseño red de aguas sanitarias de laboratorio y pluviales Escuela Medicina Veterinaria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₡15.000.000,00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Licitación infructuosa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oficinas de Vida Estudiantil</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₡19.479.000,00***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puertas salida emergencia Biblioteca Joaquín García Monge</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₡4.062.580,00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División para laboratorio Red Clara Biblioteca Joaquín García Monge</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₡2.400.000,00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II etapa elevador de Biblioteca Joaquín </w:t>
            </w:r>
            <w:r>
              <w:rPr>
                <w:rFonts w:ascii="Arial" w:hAnsi="Arial" w:cs="Arial"/>
                <w:sz w:val="20"/>
                <w:szCs w:val="20"/>
              </w:rPr>
              <w:lastRenderedPageBreak/>
              <w:t>García Monge</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lastRenderedPageBreak/>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₡49.644.888,50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Construcción de aula en sede Coto</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₡81.291.250,00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16"/>
                <w:szCs w:val="16"/>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Construcción muro de retención </w:t>
            </w:r>
            <w:r>
              <w:rPr>
                <w:rFonts w:ascii="Arial" w:hAnsi="Arial" w:cs="Arial"/>
                <w:i/>
                <w:sz w:val="20"/>
                <w:szCs w:val="20"/>
              </w:rPr>
              <w:t>Iestra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₡17.520.000,00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rampa entre plaza de la Diversidad y edificio Registro-Financiero</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₡17.623.750,00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18"/>
                <w:szCs w:val="18"/>
              </w:rPr>
            </w:pPr>
            <w:r>
              <w:rPr>
                <w:rFonts w:ascii="Arial" w:hAnsi="Arial" w:cs="Arial"/>
                <w:i/>
                <w:sz w:val="18"/>
                <w:szCs w:val="18"/>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Habilitación espacio parqueo de bicicletas</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₡5.660.540,00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Implementación de una sala de exhibición para la EUNA</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₡40.000.000,00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Acondicionamiento de casetas (</w:t>
            </w:r>
            <w:r>
              <w:rPr>
                <w:rFonts w:ascii="Arial" w:hAnsi="Arial" w:cs="Arial"/>
                <w:i/>
                <w:sz w:val="20"/>
                <w:szCs w:val="20"/>
              </w:rPr>
              <w:t>Inisefor</w:t>
            </w:r>
            <w:r>
              <w:rPr>
                <w:rFonts w:ascii="Arial" w:hAnsi="Arial" w:cs="Arial"/>
                <w:sz w:val="20"/>
                <w:szCs w:val="20"/>
              </w:rPr>
              <w:t>-campus Benjamín Núñez)</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₡22.013.013,00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Obras complementarias Plaza 11 de abril</w:t>
            </w:r>
          </w:p>
          <w:p w:rsidR="00F87902" w:rsidRDefault="00F87902">
            <w:pPr>
              <w:rPr>
                <w:rFonts w:ascii="Arial" w:hAnsi="Arial" w:cs="Arial"/>
                <w:sz w:val="20"/>
                <w:szCs w:val="20"/>
              </w:rPr>
            </w:pP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₡138.677.999,00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b/>
                <w:i/>
                <w:sz w:val="20"/>
                <w:szCs w:val="20"/>
              </w:rPr>
            </w:pPr>
            <w:r>
              <w:rPr>
                <w:rFonts w:ascii="Arial" w:hAnsi="Arial" w:cs="Arial"/>
                <w:b/>
                <w:i/>
                <w:sz w:val="20"/>
                <w:szCs w:val="20"/>
              </w:rPr>
              <w:t xml:space="preserve">         Totales</w:t>
            </w:r>
          </w:p>
        </w:tc>
        <w:tc>
          <w:tcPr>
            <w:tcW w:w="127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b/>
                <w:sz w:val="20"/>
                <w:szCs w:val="20"/>
              </w:rPr>
            </w:pPr>
          </w:p>
        </w:tc>
        <w:tc>
          <w:tcPr>
            <w:tcW w:w="21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i/>
                <w:sz w:val="20"/>
                <w:szCs w:val="20"/>
              </w:rPr>
              <w:t>₡976.608.774,10</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i/>
                <w:sz w:val="20"/>
                <w:szCs w:val="20"/>
              </w:rPr>
            </w:pPr>
          </w:p>
        </w:tc>
      </w:tr>
    </w:tbl>
    <w:p w:rsidR="00F87902" w:rsidRDefault="00F87902">
      <w:pPr>
        <w:jc w:val="both"/>
        <w:rPr>
          <w:rFonts w:ascii="Arial" w:hAnsi="Arial" w:cs="Arial"/>
          <w:sz w:val="18"/>
          <w:szCs w:val="18"/>
        </w:rPr>
      </w:pPr>
    </w:p>
    <w:p w:rsidR="00F87902" w:rsidRDefault="00A519F9">
      <w:pPr>
        <w:jc w:val="both"/>
        <w:rPr>
          <w:rFonts w:ascii="Arial" w:hAnsi="Arial" w:cs="Arial"/>
          <w:sz w:val="18"/>
          <w:szCs w:val="18"/>
        </w:rPr>
      </w:pPr>
      <w:r>
        <w:rPr>
          <w:rFonts w:ascii="Arial" w:hAnsi="Arial" w:cs="Arial"/>
          <w:sz w:val="18"/>
          <w:szCs w:val="18"/>
        </w:rPr>
        <w:t>* El monto de la obra fue modificado de ₡14.500.000,00 a ₡9.570.000,00,de acuerdo con resolución de la Proveeduría Institucional R-843-2014.</w:t>
      </w:r>
    </w:p>
    <w:p w:rsidR="00F87902" w:rsidRDefault="00F87902">
      <w:pPr>
        <w:rPr>
          <w:rFonts w:ascii="Arial" w:hAnsi="Arial" w:cs="Arial"/>
          <w:b/>
          <w:i/>
          <w:sz w:val="20"/>
          <w:szCs w:val="20"/>
        </w:rPr>
      </w:pPr>
    </w:p>
    <w:p w:rsidR="00F87902" w:rsidRDefault="00A519F9">
      <w:pPr>
        <w:rPr>
          <w:rFonts w:ascii="Arial" w:hAnsi="Arial" w:cs="Arial"/>
          <w:b/>
          <w:i/>
          <w:sz w:val="20"/>
          <w:szCs w:val="20"/>
        </w:rPr>
      </w:pPr>
      <w:r>
        <w:rPr>
          <w:rFonts w:ascii="Arial" w:hAnsi="Arial" w:cs="Arial"/>
          <w:b/>
          <w:i/>
          <w:sz w:val="20"/>
          <w:szCs w:val="20"/>
        </w:rPr>
        <w:t>Fuente: Prodemi, Vicerrectoría de Administración.</w:t>
      </w:r>
    </w:p>
    <w:p w:rsidR="00F87902" w:rsidRDefault="00F87902">
      <w:pPr>
        <w:rPr>
          <w:rFonts w:ascii="Arial" w:hAnsi="Arial" w:cs="Arial"/>
          <w:b/>
          <w:i/>
          <w:sz w:val="20"/>
          <w:szCs w:val="20"/>
        </w:rPr>
      </w:pPr>
    </w:p>
    <w:p w:rsidR="00F87902" w:rsidRDefault="00F87902">
      <w:pPr>
        <w:jc w:val="center"/>
        <w:rPr>
          <w:rFonts w:ascii="Arial" w:hAnsi="Arial" w:cs="Arial"/>
          <w:b/>
        </w:rPr>
      </w:pPr>
    </w:p>
    <w:p w:rsidR="00F87902" w:rsidRDefault="00F87902">
      <w:pPr>
        <w:jc w:val="center"/>
        <w:rPr>
          <w:rFonts w:ascii="Arial" w:hAnsi="Arial" w:cs="Arial"/>
          <w:b/>
        </w:rPr>
      </w:pPr>
    </w:p>
    <w:p w:rsidR="00F87902" w:rsidRDefault="00A519F9">
      <w:pPr>
        <w:jc w:val="center"/>
      </w:pPr>
      <w:r>
        <w:rPr>
          <w:rFonts w:ascii="Arial" w:hAnsi="Arial" w:cs="Arial"/>
          <w:b/>
        </w:rPr>
        <w:t>Obras presupuesto 2014</w:t>
      </w:r>
    </w:p>
    <w:p w:rsidR="00F87902" w:rsidRDefault="00A519F9">
      <w:pPr>
        <w:jc w:val="center"/>
        <w:rPr>
          <w:rFonts w:ascii="Arial" w:hAnsi="Arial" w:cs="Arial"/>
          <w:b/>
        </w:rPr>
      </w:pPr>
      <w:r>
        <w:rPr>
          <w:rFonts w:ascii="Arial" w:hAnsi="Arial" w:cs="Arial"/>
          <w:b/>
        </w:rPr>
        <w:t xml:space="preserve"> (Concluidas o en ejecución en 2014-2015)</w:t>
      </w:r>
    </w:p>
    <w:p w:rsidR="00F87902" w:rsidRDefault="00F87902">
      <w:pPr>
        <w:jc w:val="center"/>
        <w:rPr>
          <w:rFonts w:ascii="Arial" w:hAnsi="Arial" w:cs="Arial"/>
          <w:b/>
        </w:rPr>
      </w:pPr>
    </w:p>
    <w:tbl>
      <w:tblPr>
        <w:tblW w:w="855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3938"/>
        <w:gridCol w:w="1275"/>
        <w:gridCol w:w="1985"/>
        <w:gridCol w:w="1359"/>
      </w:tblGrid>
      <w:tr w:rsidR="00F87902">
        <w:trPr>
          <w:tblHeade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Obra</w:t>
            </w:r>
          </w:p>
        </w:tc>
        <w:tc>
          <w:tcPr>
            <w:tcW w:w="1275"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rPr>
                <w:rFonts w:ascii="Arial" w:hAnsi="Arial" w:cs="Arial"/>
                <w:b/>
                <w:bCs/>
                <w:sz w:val="20"/>
                <w:szCs w:val="20"/>
              </w:rPr>
            </w:pPr>
            <w:r>
              <w:rPr>
                <w:rFonts w:ascii="Arial" w:hAnsi="Arial" w:cs="Arial"/>
                <w:b/>
                <w:bCs/>
                <w:sz w:val="20"/>
                <w:szCs w:val="20"/>
              </w:rPr>
              <w:t xml:space="preserve">Grado de avance </w:t>
            </w:r>
          </w:p>
        </w:tc>
        <w:tc>
          <w:tcPr>
            <w:tcW w:w="1985"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Monto del contrato</w:t>
            </w:r>
          </w:p>
        </w:tc>
        <w:tc>
          <w:tcPr>
            <w:tcW w:w="1359" w:type="dxa"/>
            <w:tcBorders>
              <w:top w:val="single" w:sz="4" w:space="0" w:color="00000A"/>
              <w:left w:val="single" w:sz="4" w:space="0" w:color="00000A"/>
              <w:bottom w:val="single" w:sz="4" w:space="0" w:color="00000A"/>
              <w:right w:val="single" w:sz="4" w:space="0" w:color="00000A"/>
            </w:tcBorders>
            <w:shd w:val="clear" w:color="auto" w:fill="808080"/>
            <w:tcMar>
              <w:left w:w="83" w:type="dxa"/>
            </w:tcMar>
            <w:vAlign w:val="center"/>
          </w:tcPr>
          <w:p w:rsidR="00F87902" w:rsidRDefault="00A519F9">
            <w:pPr>
              <w:jc w:val="center"/>
              <w:rPr>
                <w:rFonts w:ascii="Arial" w:hAnsi="Arial" w:cs="Arial"/>
                <w:b/>
                <w:bCs/>
                <w:sz w:val="20"/>
                <w:szCs w:val="20"/>
              </w:rPr>
            </w:pPr>
            <w:r>
              <w:rPr>
                <w:rFonts w:ascii="Arial" w:hAnsi="Arial" w:cs="Arial"/>
                <w:b/>
                <w:bCs/>
                <w:sz w:val="20"/>
                <w:szCs w:val="20"/>
              </w:rPr>
              <w:t>Estado al 31/12/2015</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Ampliación y remodelación de la soda comedor, y construcción de caseta de vigilancia sede Sarapiquí</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30%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₡121.850.736,20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rPr>
                <w:rFonts w:ascii="Arial" w:hAnsi="Arial" w:cs="Arial"/>
                <w:sz w:val="20"/>
                <w:szCs w:val="20"/>
              </w:rPr>
            </w:pPr>
          </w:p>
          <w:p w:rsidR="00F87902" w:rsidRDefault="00A519F9">
            <w:pPr>
              <w:rPr>
                <w:rFonts w:ascii="Arial" w:hAnsi="Arial" w:cs="Arial"/>
                <w:sz w:val="20"/>
                <w:szCs w:val="20"/>
              </w:rPr>
            </w:pPr>
            <w:r>
              <w:rPr>
                <w:rFonts w:ascii="Arial" w:hAnsi="Arial" w:cs="Arial"/>
                <w:sz w:val="20"/>
                <w:szCs w:val="20"/>
              </w:rPr>
              <w:t>Pasillo techado y rampa acceso EMV</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₡25.883.000,00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tubería agua potable campus Benjamín Núñez</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₡16.490.000,00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Estabilidad de taludes colindancia oeste EMV</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₡299.544.000,00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Sistema pluvial hospital y EMV</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₡10.595.000,00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Edificio laboratorios Escuela Ciencias del movimiento humano y calidad de vida</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70%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₡415.000.000,00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Soda campus Benjamín Núñez</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70%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₡320.000.000,00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lastRenderedPageBreak/>
              <w:t>Instalación luminarias gimnasio EMHC</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₡6.698.076,00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 xml:space="preserve">Terminada </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Construcción caseta de vigilancia en calle norte EMV</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₡39.521.308,00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bodega taller Arte Escénico</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80%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₡132.068.080,44</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monitor de techo edificio 1 Escuela de Música</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₡23.193.968,00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Adecuación Galería Lola Fernández</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₡59.467.000,00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 xml:space="preserve">Terminada </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Remodelación </w:t>
            </w:r>
            <w:r>
              <w:rPr>
                <w:rFonts w:ascii="Arial" w:hAnsi="Arial" w:cs="Arial"/>
                <w:i/>
                <w:sz w:val="20"/>
                <w:szCs w:val="20"/>
              </w:rPr>
              <w:t>Ineina</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98%</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₡64.221.963,63</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Biblioteca FTM</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₡92.646.145,00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i/>
                <w:sz w:val="20"/>
                <w:szCs w:val="20"/>
              </w:rPr>
            </w:pPr>
            <w:r>
              <w:rPr>
                <w:rFonts w:ascii="Arial" w:hAnsi="Arial" w:cs="Arial"/>
                <w:sz w:val="20"/>
                <w:szCs w:val="20"/>
              </w:rPr>
              <w:t xml:space="preserve">Construcción baños, pileta de aseo, instalación aire acondicionado y soporte para proyector </w:t>
            </w:r>
            <w:r>
              <w:rPr>
                <w:rFonts w:ascii="Arial" w:hAnsi="Arial" w:cs="Arial"/>
                <w:i/>
                <w:sz w:val="20"/>
                <w:szCs w:val="20"/>
              </w:rPr>
              <w:t>Cinat</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₡15.635.000,00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2ª etapa instalación puertas salidas de emergencia laboratorios de Ciencias Biológicas, EMV y Ciencias Agrarias</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₡33.666.000,00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Instalación piso y puertas FTM</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₡12.514.513,15</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Demoliciones varias Escuela de Física</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₡17.579.998,72</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Remodelación Escuela de Topografía, Catastro y Geodesia acreditación</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70%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₡285.060.805,53</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Laboratorios </w:t>
            </w:r>
            <w:r>
              <w:rPr>
                <w:rFonts w:ascii="Arial" w:hAnsi="Arial" w:cs="Arial"/>
                <w:i/>
                <w:sz w:val="20"/>
                <w:szCs w:val="20"/>
              </w:rPr>
              <w:t>Hidrocec</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95%</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₡179.425.529,00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 xml:space="preserve">Demolición antiguo edificio Proveeduría y construcción sistema de respaldo potable sector 2 </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100%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₡100.999.999,00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Terminada</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III Etapa readecuación edificio Administrativo Ley 8228</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70%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₡138.512.247,41</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III Etapa Señalética Ley 8228</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50%</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₡42.344.603,53</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i/>
                <w:sz w:val="20"/>
                <w:szCs w:val="20"/>
              </w:rPr>
            </w:pPr>
            <w:r>
              <w:rPr>
                <w:rFonts w:ascii="Arial" w:hAnsi="Arial" w:cs="Arial"/>
                <w:i/>
                <w:sz w:val="20"/>
                <w:szCs w:val="20"/>
              </w:rPr>
              <w:t>En ejecución</w:t>
            </w:r>
          </w:p>
          <w:p w:rsidR="00F87902" w:rsidRDefault="00F87902">
            <w:pPr>
              <w:jc w:val="center"/>
              <w:rPr>
                <w:rFonts w:ascii="Arial" w:hAnsi="Arial" w:cs="Arial"/>
                <w:i/>
                <w:sz w:val="20"/>
                <w:szCs w:val="20"/>
              </w:rPr>
            </w:pP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rPr>
                <w:rFonts w:ascii="Arial" w:hAnsi="Arial" w:cs="Arial"/>
                <w:sz w:val="20"/>
                <w:szCs w:val="20"/>
              </w:rPr>
            </w:pPr>
            <w:r>
              <w:rPr>
                <w:rFonts w:ascii="Arial" w:hAnsi="Arial" w:cs="Arial"/>
                <w:sz w:val="20"/>
                <w:szCs w:val="20"/>
              </w:rPr>
              <w:t>Edificio de uso múltiple campus Omar Dengo</w:t>
            </w:r>
          </w:p>
          <w:p w:rsidR="00F87902" w:rsidRDefault="00F87902">
            <w:pPr>
              <w:rPr>
                <w:rFonts w:ascii="Arial" w:hAnsi="Arial" w:cs="Arial"/>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b/>
                <w:sz w:val="20"/>
                <w:szCs w:val="20"/>
              </w:rPr>
            </w:pPr>
            <w:r>
              <w:rPr>
                <w:rFonts w:ascii="Arial" w:hAnsi="Arial" w:cs="Arial"/>
                <w:b/>
                <w:sz w:val="20"/>
                <w:szCs w:val="20"/>
              </w:rPr>
              <w:t>25%</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₡1.953.173.000,00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sz w:val="20"/>
                <w:szCs w:val="20"/>
              </w:rPr>
              <w:t>En ejecución</w:t>
            </w:r>
          </w:p>
        </w:tc>
      </w:tr>
      <w:tr w:rsidR="00F87902">
        <w:trPr>
          <w:jc w:val="center"/>
        </w:trPr>
        <w:tc>
          <w:tcPr>
            <w:tcW w:w="39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r>
              <w:rPr>
                <w:rFonts w:ascii="Arial" w:hAnsi="Arial" w:cs="Arial"/>
                <w:b/>
                <w:i/>
                <w:sz w:val="20"/>
                <w:szCs w:val="20"/>
              </w:rPr>
              <w:t xml:space="preserve">         Totales</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b/>
                <w:sz w:val="20"/>
                <w:szCs w:val="20"/>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A519F9">
            <w:pPr>
              <w:jc w:val="center"/>
              <w:rPr>
                <w:rFonts w:ascii="Arial" w:hAnsi="Arial" w:cs="Arial"/>
                <w:sz w:val="20"/>
                <w:szCs w:val="20"/>
              </w:rPr>
            </w:pPr>
            <w:r>
              <w:rPr>
                <w:rFonts w:ascii="Arial" w:hAnsi="Arial" w:cs="Arial"/>
                <w:b/>
                <w:i/>
                <w:sz w:val="20"/>
                <w:szCs w:val="20"/>
              </w:rPr>
              <w:t>₡4.406.090.973,61</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rsidR="00F87902" w:rsidRDefault="00F87902">
            <w:pPr>
              <w:jc w:val="center"/>
              <w:rPr>
                <w:rFonts w:ascii="Arial" w:hAnsi="Arial" w:cs="Arial"/>
                <w:i/>
                <w:sz w:val="20"/>
                <w:szCs w:val="20"/>
              </w:rPr>
            </w:pPr>
          </w:p>
        </w:tc>
      </w:tr>
    </w:tbl>
    <w:p w:rsidR="00F87902" w:rsidRDefault="00A519F9">
      <w:r>
        <w:rPr>
          <w:rFonts w:ascii="Arial" w:hAnsi="Arial" w:cs="Arial"/>
          <w:b/>
          <w:i/>
          <w:sz w:val="20"/>
          <w:szCs w:val="20"/>
        </w:rPr>
        <w:t>Fuente: Prodemi, Vicerrectoría de Administración.</w:t>
      </w:r>
    </w:p>
    <w:p w:rsidR="00F87902" w:rsidRDefault="00F87902">
      <w:pPr>
        <w:rPr>
          <w:rFonts w:ascii="Arial" w:hAnsi="Arial" w:cs="Arial"/>
          <w:b/>
          <w:i/>
          <w:sz w:val="20"/>
          <w:szCs w:val="20"/>
        </w:rPr>
      </w:pPr>
    </w:p>
    <w:p w:rsidR="00F87902" w:rsidRDefault="00F87902">
      <w:pPr>
        <w:jc w:val="center"/>
        <w:rPr>
          <w:rFonts w:ascii="Arial" w:hAnsi="Arial" w:cs="Arial"/>
          <w:b/>
          <w:bCs/>
        </w:rPr>
      </w:pPr>
    </w:p>
    <w:p w:rsidR="006D52EA" w:rsidRDefault="006D52EA">
      <w:pPr>
        <w:jc w:val="center"/>
        <w:rPr>
          <w:rFonts w:ascii="Arial" w:hAnsi="Arial" w:cs="Arial"/>
          <w:b/>
          <w:bCs/>
        </w:rPr>
      </w:pPr>
    </w:p>
    <w:p w:rsidR="006D52EA" w:rsidRDefault="006D52EA">
      <w:pPr>
        <w:jc w:val="center"/>
        <w:rPr>
          <w:rFonts w:ascii="Arial" w:hAnsi="Arial" w:cs="Arial"/>
          <w:b/>
          <w:bCs/>
        </w:rPr>
      </w:pPr>
    </w:p>
    <w:p w:rsidR="00F87902" w:rsidRDefault="00A519F9">
      <w:pPr>
        <w:jc w:val="center"/>
        <w:rPr>
          <w:rFonts w:ascii="Arial" w:hAnsi="Arial" w:cs="Arial"/>
          <w:b/>
          <w:bCs/>
        </w:rPr>
      </w:pPr>
      <w:r>
        <w:rPr>
          <w:rFonts w:ascii="Arial" w:hAnsi="Arial" w:cs="Arial"/>
          <w:b/>
          <w:bCs/>
        </w:rPr>
        <w:lastRenderedPageBreak/>
        <w:t>Obras presupuesto 2015</w:t>
      </w:r>
    </w:p>
    <w:p w:rsidR="00F87902" w:rsidRDefault="00A519F9">
      <w:pPr>
        <w:jc w:val="center"/>
        <w:rPr>
          <w:rFonts w:ascii="Arial" w:hAnsi="Arial" w:cs="Arial"/>
          <w:b/>
          <w:bCs/>
        </w:rPr>
      </w:pPr>
      <w:r>
        <w:rPr>
          <w:rFonts w:ascii="Arial" w:hAnsi="Arial" w:cs="Arial"/>
          <w:b/>
          <w:bCs/>
        </w:rPr>
        <w:t>(Concluidas o en ejecución en 2015-2016)</w:t>
      </w:r>
    </w:p>
    <w:p w:rsidR="00F87902" w:rsidRDefault="00F87902">
      <w:pPr>
        <w:jc w:val="center"/>
        <w:rPr>
          <w:color w:val="FF0000"/>
        </w:rPr>
      </w:pPr>
    </w:p>
    <w:tbl>
      <w:tblPr>
        <w:tblW w:w="8646" w:type="dxa"/>
        <w:tblInd w:w="471" w:type="dxa"/>
        <w:tblBorders>
          <w:top w:val="single" w:sz="8" w:space="0" w:color="00000A"/>
          <w:left w:val="single" w:sz="4" w:space="0" w:color="00000A"/>
          <w:bottom w:val="single" w:sz="8" w:space="0" w:color="00000A"/>
          <w:right w:val="single" w:sz="4" w:space="0" w:color="00000A"/>
          <w:insideH w:val="single" w:sz="8" w:space="0" w:color="00000A"/>
          <w:insideV w:val="single" w:sz="4" w:space="0" w:color="00000A"/>
        </w:tblBorders>
        <w:tblCellMar>
          <w:left w:w="40" w:type="dxa"/>
          <w:right w:w="70" w:type="dxa"/>
        </w:tblCellMar>
        <w:tblLook w:val="04A0"/>
      </w:tblPr>
      <w:tblGrid>
        <w:gridCol w:w="3971"/>
        <w:gridCol w:w="1132"/>
        <w:gridCol w:w="2043"/>
        <w:gridCol w:w="1500"/>
      </w:tblGrid>
      <w:tr w:rsidR="00F87902">
        <w:trPr>
          <w:trHeight w:val="525"/>
          <w:tblHeader/>
        </w:trPr>
        <w:tc>
          <w:tcPr>
            <w:tcW w:w="3970" w:type="dxa"/>
            <w:tcBorders>
              <w:top w:val="single" w:sz="8" w:space="0" w:color="00000A"/>
              <w:left w:val="single" w:sz="4" w:space="0" w:color="00000A"/>
              <w:bottom w:val="single" w:sz="8" w:space="0" w:color="00000A"/>
              <w:right w:val="single" w:sz="4" w:space="0" w:color="00000A"/>
            </w:tcBorders>
            <w:shd w:val="clear" w:color="auto" w:fill="808080" w:themeFill="background1" w:themeFillShade="80"/>
            <w:tcMar>
              <w:left w:w="40" w:type="dxa"/>
            </w:tcMar>
            <w:vAlign w:val="bottom"/>
          </w:tcPr>
          <w:p w:rsidR="00F87902" w:rsidRDefault="00A519F9">
            <w:pPr>
              <w:jc w:val="center"/>
              <w:rPr>
                <w:rFonts w:ascii="Arial" w:hAnsi="Arial" w:cs="Arial"/>
                <w:b/>
                <w:sz w:val="20"/>
                <w:szCs w:val="20"/>
              </w:rPr>
            </w:pPr>
            <w:r>
              <w:rPr>
                <w:rFonts w:ascii="Arial" w:hAnsi="Arial" w:cs="Arial"/>
                <w:b/>
                <w:sz w:val="20"/>
                <w:szCs w:val="20"/>
              </w:rPr>
              <w:t>Obra</w:t>
            </w:r>
          </w:p>
        </w:tc>
        <w:tc>
          <w:tcPr>
            <w:tcW w:w="1132" w:type="dxa"/>
            <w:tcBorders>
              <w:top w:val="single" w:sz="8" w:space="0" w:color="00000A"/>
              <w:left w:val="single" w:sz="4" w:space="0" w:color="00000A"/>
              <w:bottom w:val="single" w:sz="8" w:space="0" w:color="00000A"/>
              <w:right w:val="single" w:sz="4" w:space="0" w:color="00000A"/>
            </w:tcBorders>
            <w:shd w:val="clear" w:color="auto" w:fill="808080" w:themeFill="background1" w:themeFillShade="80"/>
          </w:tcPr>
          <w:p w:rsidR="00F87902" w:rsidRDefault="00A519F9">
            <w:pPr>
              <w:jc w:val="center"/>
              <w:rPr>
                <w:rFonts w:ascii="Arial" w:hAnsi="Arial" w:cs="Arial"/>
                <w:b/>
                <w:sz w:val="20"/>
                <w:szCs w:val="20"/>
              </w:rPr>
            </w:pPr>
            <w:r>
              <w:rPr>
                <w:rFonts w:ascii="Arial" w:hAnsi="Arial" w:cs="Arial"/>
                <w:b/>
                <w:sz w:val="20"/>
                <w:szCs w:val="20"/>
              </w:rPr>
              <w:t>Grado de avance</w:t>
            </w:r>
          </w:p>
        </w:tc>
        <w:tc>
          <w:tcPr>
            <w:tcW w:w="2043" w:type="dxa"/>
            <w:tcBorders>
              <w:top w:val="single" w:sz="8" w:space="0" w:color="00000A"/>
              <w:left w:val="single" w:sz="4" w:space="0" w:color="00000A"/>
              <w:bottom w:val="single" w:sz="8" w:space="0" w:color="00000A"/>
              <w:right w:val="single" w:sz="4" w:space="0" w:color="00000A"/>
            </w:tcBorders>
            <w:shd w:val="clear" w:color="auto" w:fill="808080" w:themeFill="background1" w:themeFillShade="80"/>
            <w:tcMar>
              <w:left w:w="40" w:type="dxa"/>
            </w:tcMar>
            <w:vAlign w:val="bottom"/>
          </w:tcPr>
          <w:p w:rsidR="00F87902" w:rsidRDefault="00A519F9">
            <w:pPr>
              <w:jc w:val="center"/>
              <w:rPr>
                <w:rFonts w:ascii="Arial" w:hAnsi="Arial" w:cs="Arial"/>
                <w:b/>
                <w:sz w:val="20"/>
                <w:szCs w:val="20"/>
              </w:rPr>
            </w:pPr>
            <w:r>
              <w:rPr>
                <w:rFonts w:ascii="Arial" w:hAnsi="Arial" w:cs="Arial"/>
                <w:b/>
                <w:sz w:val="20"/>
                <w:szCs w:val="20"/>
              </w:rPr>
              <w:t>Monto del contrato</w:t>
            </w:r>
          </w:p>
        </w:tc>
        <w:tc>
          <w:tcPr>
            <w:tcW w:w="1500" w:type="dxa"/>
            <w:tcBorders>
              <w:top w:val="single" w:sz="8" w:space="0" w:color="00000A"/>
              <w:left w:val="single" w:sz="4" w:space="0" w:color="00000A"/>
              <w:bottom w:val="single" w:sz="8" w:space="0" w:color="00000A"/>
              <w:right w:val="single" w:sz="4" w:space="0" w:color="00000A"/>
            </w:tcBorders>
            <w:shd w:val="clear" w:color="auto" w:fill="808080" w:themeFill="background1" w:themeFillShade="80"/>
          </w:tcPr>
          <w:p w:rsidR="00F87902" w:rsidRDefault="00A519F9">
            <w:pPr>
              <w:jc w:val="center"/>
              <w:rPr>
                <w:rFonts w:ascii="Arial" w:hAnsi="Arial" w:cs="Arial"/>
                <w:b/>
                <w:sz w:val="20"/>
                <w:szCs w:val="20"/>
              </w:rPr>
            </w:pPr>
            <w:r>
              <w:rPr>
                <w:rFonts w:ascii="Arial" w:hAnsi="Arial" w:cs="Arial"/>
                <w:b/>
                <w:sz w:val="20"/>
                <w:szCs w:val="20"/>
              </w:rPr>
              <w:t>Estado al 31/12/2015</w:t>
            </w:r>
          </w:p>
        </w:tc>
      </w:tr>
      <w:tr w:rsidR="00F87902">
        <w:trPr>
          <w:trHeight w:val="525"/>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Construcción piscina y obras complementarias Sarapiquí</w:t>
            </w:r>
          </w:p>
        </w:tc>
        <w:tc>
          <w:tcPr>
            <w:tcW w:w="1132" w:type="dxa"/>
            <w:tcBorders>
              <w:top w:val="single" w:sz="8" w:space="0" w:color="00000A"/>
              <w:left w:val="single" w:sz="4" w:space="0" w:color="00000A"/>
              <w:bottom w:val="single" w:sz="8" w:space="0" w:color="00000A"/>
              <w:right w:val="single" w:sz="4" w:space="0" w:color="00000A"/>
            </w:tcBorders>
            <w:shd w:val="clear" w:color="auto" w:fill="auto"/>
            <w:vAlign w:val="center"/>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p w:rsidR="00F87902" w:rsidRDefault="00F87902">
            <w:pPr>
              <w:jc w:val="center"/>
            </w:pP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₡471.909.478,60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vAlign w:val="center"/>
          </w:tcPr>
          <w:p w:rsidR="00F87902" w:rsidRDefault="00A519F9">
            <w:pPr>
              <w:jc w:val="center"/>
              <w:rPr>
                <w:rFonts w:ascii="Arial" w:hAnsi="Arial" w:cs="Arial"/>
                <w:i/>
                <w:sz w:val="18"/>
                <w:szCs w:val="18"/>
              </w:rPr>
            </w:pPr>
            <w:r>
              <w:rPr>
                <w:rFonts w:ascii="Arial" w:hAnsi="Arial" w:cs="Arial"/>
                <w:i/>
                <w:sz w:val="18"/>
                <w:szCs w:val="18"/>
              </w:rPr>
              <w:t>En trámite de  licitación Proveeduría</w:t>
            </w:r>
          </w:p>
        </w:tc>
      </w:tr>
      <w:tr w:rsidR="00F87902">
        <w:trPr>
          <w:trHeight w:val="622"/>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Complemento sistema de incendio Escuela de Relaciones Internacionales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₡119.725.496,80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525"/>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 xml:space="preserve">Remodelación en casona del Museo de Cultura Popular </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₡10.000.000,00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765"/>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Sistema tratamiento aguas residuales Escuela de Medicina Veterinaria</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₡199.409.345,00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270"/>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Readecuación bodega Lagunilla</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₡223.064.931,00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371"/>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Remodelación cubículos del Icomvis</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₡65.217.112,00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510"/>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 xml:space="preserve">Adecuación de laboratorio Lagen traslado equipo Escuela de Biología (adn) </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98%</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₡3.840.000.00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ejecución</w:t>
            </w:r>
          </w:p>
        </w:tc>
      </w:tr>
      <w:tr w:rsidR="00F87902">
        <w:trPr>
          <w:trHeight w:val="510"/>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Caseta vigilancia Estación Biológica 28 millas</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₡32.001.090,00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255"/>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Rótulos campus Liberia- Nicoya</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95%</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₡10.548.026.00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ejecución</w:t>
            </w:r>
          </w:p>
        </w:tc>
      </w:tr>
      <w:tr w:rsidR="00F87902">
        <w:trPr>
          <w:trHeight w:val="525"/>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Construcción bodega en Nicoya y Liberia</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₡37.440.988,00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389"/>
        </w:trPr>
        <w:tc>
          <w:tcPr>
            <w:tcW w:w="3970" w:type="dxa"/>
            <w:tcBorders>
              <w:top w:val="single" w:sz="8" w:space="0" w:color="00000A"/>
              <w:left w:val="single" w:sz="4" w:space="0" w:color="00000A"/>
              <w:bottom w:val="single" w:sz="8"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Remodelación Departamento de Salud</w:t>
            </w:r>
          </w:p>
        </w:tc>
        <w:tc>
          <w:tcPr>
            <w:tcW w:w="1132" w:type="dxa"/>
            <w:tcBorders>
              <w:top w:val="single" w:sz="8" w:space="0" w:color="00000A"/>
              <w:left w:val="single" w:sz="4" w:space="0" w:color="00000A"/>
              <w:bottom w:val="single" w:sz="8"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8" w:space="0" w:color="00000A"/>
              <w:left w:val="single" w:sz="4" w:space="0" w:color="00000A"/>
              <w:bottom w:val="single" w:sz="8"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₡236.206.437,40</w:t>
            </w:r>
          </w:p>
        </w:tc>
        <w:tc>
          <w:tcPr>
            <w:tcW w:w="1500" w:type="dxa"/>
            <w:tcBorders>
              <w:top w:val="single" w:sz="8" w:space="0" w:color="00000A"/>
              <w:left w:val="single" w:sz="4" w:space="0" w:color="00000A"/>
              <w:bottom w:val="single" w:sz="8"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255"/>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Señalética IV</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₡4.645.860,00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510"/>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Cerramiento perimetral y muro de contención en lote San Pablo</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₡18.075.376,00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255"/>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Caseta vigilancia Transportes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₡28.908.459,00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F87902">
        <w:trPr>
          <w:trHeight w:val="525"/>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F87902" w:rsidRDefault="00A519F9">
            <w:pPr>
              <w:rPr>
                <w:rFonts w:ascii="Arial" w:hAnsi="Arial" w:cs="Arial"/>
                <w:sz w:val="20"/>
                <w:szCs w:val="20"/>
              </w:rPr>
            </w:pPr>
            <w:r>
              <w:rPr>
                <w:rFonts w:ascii="Arial" w:hAnsi="Arial" w:cs="Arial"/>
                <w:sz w:val="20"/>
                <w:szCs w:val="20"/>
              </w:rPr>
              <w:t>Sistema de incendio Biblioteca Joaquín García Monge</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F87902" w:rsidRDefault="00F87902">
            <w:pPr>
              <w:jc w:val="center"/>
              <w:rPr>
                <w:rFonts w:ascii="Arial" w:hAnsi="Arial" w:cs="Arial"/>
                <w:b/>
                <w:sz w:val="20"/>
                <w:szCs w:val="20"/>
              </w:rPr>
            </w:pPr>
          </w:p>
          <w:p w:rsidR="00F87902" w:rsidRDefault="00A519F9">
            <w:pPr>
              <w:jc w:val="center"/>
              <w:rPr>
                <w:rFonts w:ascii="Arial" w:hAnsi="Arial" w:cs="Arial"/>
                <w:b/>
                <w:sz w:val="20"/>
                <w:szCs w:val="20"/>
              </w:rPr>
            </w:pPr>
            <w:r>
              <w:rPr>
                <w:rFonts w:ascii="Arial" w:hAnsi="Arial" w:cs="Arial"/>
                <w:b/>
                <w:sz w:val="20"/>
                <w:szCs w:val="20"/>
              </w:rPr>
              <w:t>0%</w:t>
            </w: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F87902" w:rsidRDefault="00A519F9">
            <w:pPr>
              <w:jc w:val="center"/>
              <w:rPr>
                <w:rFonts w:ascii="Arial" w:hAnsi="Arial" w:cs="Arial"/>
                <w:sz w:val="20"/>
                <w:szCs w:val="20"/>
              </w:rPr>
            </w:pPr>
            <w:r>
              <w:rPr>
                <w:rFonts w:ascii="Arial" w:hAnsi="Arial" w:cs="Arial"/>
                <w:sz w:val="20"/>
                <w:szCs w:val="20"/>
              </w:rPr>
              <w:t>₡10.225.000,00</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F87902" w:rsidRDefault="00A519F9">
            <w:pPr>
              <w:rPr>
                <w:i/>
                <w:sz w:val="18"/>
                <w:szCs w:val="18"/>
              </w:rPr>
            </w:pPr>
            <w:r>
              <w:rPr>
                <w:rFonts w:ascii="Arial" w:hAnsi="Arial" w:cs="Arial"/>
                <w:i/>
                <w:sz w:val="18"/>
                <w:szCs w:val="18"/>
              </w:rPr>
              <w:t>En trámite de  licitación Proveeduría</w:t>
            </w:r>
          </w:p>
        </w:tc>
      </w:tr>
      <w:tr w:rsidR="006D52EA" w:rsidTr="004C19E6">
        <w:trPr>
          <w:trHeight w:val="386"/>
        </w:trPr>
        <w:tc>
          <w:tcPr>
            <w:tcW w:w="39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6D52EA" w:rsidRPr="004C19E6" w:rsidRDefault="004C19E6">
            <w:pPr>
              <w:rPr>
                <w:rFonts w:ascii="Arial" w:hAnsi="Arial" w:cs="Arial"/>
                <w:b/>
                <w:i/>
                <w:sz w:val="20"/>
                <w:szCs w:val="20"/>
              </w:rPr>
            </w:pPr>
            <w:r w:rsidRPr="004C19E6">
              <w:rPr>
                <w:rFonts w:ascii="Arial" w:hAnsi="Arial" w:cs="Arial"/>
                <w:b/>
                <w:i/>
                <w:sz w:val="20"/>
                <w:szCs w:val="20"/>
              </w:rPr>
              <w:t>Totales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6D52EA" w:rsidRDefault="006D52EA">
            <w:pPr>
              <w:jc w:val="center"/>
              <w:rPr>
                <w:rFonts w:ascii="Arial" w:hAnsi="Arial" w:cs="Arial"/>
                <w:b/>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000000" w:fill="FFFFFF"/>
            <w:tcMar>
              <w:left w:w="40" w:type="dxa"/>
            </w:tcMar>
            <w:vAlign w:val="center"/>
          </w:tcPr>
          <w:p w:rsidR="006D52EA" w:rsidRPr="004C19E6" w:rsidRDefault="004C19E6">
            <w:pPr>
              <w:jc w:val="center"/>
              <w:rPr>
                <w:rFonts w:ascii="Arial" w:hAnsi="Arial" w:cs="Arial"/>
                <w:b/>
                <w:i/>
                <w:sz w:val="20"/>
                <w:szCs w:val="20"/>
              </w:rPr>
            </w:pPr>
            <w:r w:rsidRPr="004C19E6">
              <w:rPr>
                <w:rFonts w:ascii="Arial" w:hAnsi="Arial" w:cs="Arial"/>
                <w:b/>
                <w:i/>
                <w:sz w:val="20"/>
                <w:szCs w:val="20"/>
              </w:rPr>
              <w:t>₡1.471.217.599,8</w:t>
            </w:r>
          </w:p>
        </w:tc>
        <w:tc>
          <w:tcPr>
            <w:tcW w:w="1500" w:type="dxa"/>
            <w:tcBorders>
              <w:top w:val="single" w:sz="4" w:space="0" w:color="00000A"/>
              <w:left w:val="single" w:sz="4" w:space="0" w:color="00000A"/>
              <w:bottom w:val="single" w:sz="4" w:space="0" w:color="00000A"/>
              <w:right w:val="single" w:sz="4" w:space="0" w:color="00000A"/>
            </w:tcBorders>
            <w:shd w:val="clear" w:color="000000" w:fill="FFFFFF"/>
          </w:tcPr>
          <w:p w:rsidR="006D52EA" w:rsidRDefault="006D52EA">
            <w:pPr>
              <w:rPr>
                <w:rFonts w:ascii="Arial" w:hAnsi="Arial" w:cs="Arial"/>
                <w:i/>
                <w:sz w:val="18"/>
                <w:szCs w:val="18"/>
              </w:rPr>
            </w:pPr>
          </w:p>
        </w:tc>
      </w:tr>
    </w:tbl>
    <w:p w:rsidR="00F87902" w:rsidRDefault="00F87902">
      <w:pPr>
        <w:rPr>
          <w:rFonts w:ascii="Arial" w:hAnsi="Arial" w:cs="Arial"/>
          <w:color w:val="548DD4" w:themeColor="text2" w:themeTint="99"/>
          <w:sz w:val="20"/>
          <w:szCs w:val="20"/>
        </w:rPr>
      </w:pPr>
    </w:p>
    <w:p w:rsidR="00F87902" w:rsidRDefault="00A519F9">
      <w:r>
        <w:rPr>
          <w:rFonts w:ascii="Arial" w:hAnsi="Arial" w:cs="Arial"/>
          <w:b/>
          <w:i/>
          <w:sz w:val="20"/>
          <w:szCs w:val="20"/>
        </w:rPr>
        <w:t xml:space="preserve">Fuente: Prodemi, </w:t>
      </w:r>
      <w:bookmarkStart w:id="67" w:name="__DdeLink__24961_1270810175"/>
      <w:r>
        <w:rPr>
          <w:rFonts w:ascii="Arial" w:hAnsi="Arial" w:cs="Arial"/>
          <w:b/>
          <w:i/>
          <w:sz w:val="20"/>
          <w:szCs w:val="20"/>
        </w:rPr>
        <w:t xml:space="preserve">Vicerrectoría de </w:t>
      </w:r>
      <w:bookmarkEnd w:id="67"/>
      <w:r>
        <w:rPr>
          <w:rFonts w:ascii="Arial" w:hAnsi="Arial" w:cs="Arial"/>
          <w:b/>
          <w:i/>
          <w:sz w:val="20"/>
          <w:szCs w:val="20"/>
        </w:rPr>
        <w:t>Administración.</w:t>
      </w:r>
    </w:p>
    <w:p w:rsidR="00F87902" w:rsidRDefault="00F87902">
      <w:pPr>
        <w:rPr>
          <w:color w:val="0070C0"/>
        </w:rPr>
      </w:pPr>
    </w:p>
    <w:p w:rsidR="00F87902" w:rsidRDefault="00A519F9">
      <w:pPr>
        <w:rPr>
          <w:rFonts w:ascii="Arial" w:hAnsi="Arial" w:cs="Arial"/>
        </w:rPr>
      </w:pPr>
      <w:r>
        <w:br w:type="page"/>
      </w:r>
    </w:p>
    <w:p w:rsidR="00F87902" w:rsidRDefault="00F87902">
      <w:pPr>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A519F9">
      <w:pPr>
        <w:pStyle w:val="Encabezado1"/>
        <w:spacing w:line="360" w:lineRule="auto"/>
      </w:pPr>
      <w:bookmarkStart w:id="68" w:name="_Toc205107171"/>
      <w:bookmarkStart w:id="69" w:name="_Toc205089020"/>
      <w:bookmarkStart w:id="70" w:name="_Toc205107642"/>
      <w:bookmarkStart w:id="71" w:name="_Toc237747466"/>
      <w:bookmarkStart w:id="72" w:name="_Toc205089185"/>
      <w:bookmarkStart w:id="73" w:name="_Toc205107623"/>
      <w:bookmarkStart w:id="74" w:name="_Toc348683625"/>
      <w:bookmarkStart w:id="75" w:name="_Toc205107677"/>
      <w:bookmarkStart w:id="76" w:name="_Toc205107277"/>
      <w:bookmarkStart w:id="77" w:name="_Toc205101589"/>
      <w:bookmarkStart w:id="78" w:name="_Toc205106832"/>
      <w:bookmarkStart w:id="79" w:name="_Toc205101726"/>
      <w:bookmarkEnd w:id="68"/>
      <w:bookmarkEnd w:id="69"/>
      <w:bookmarkEnd w:id="70"/>
      <w:bookmarkEnd w:id="71"/>
      <w:bookmarkEnd w:id="72"/>
      <w:bookmarkEnd w:id="73"/>
      <w:bookmarkEnd w:id="74"/>
      <w:bookmarkEnd w:id="75"/>
      <w:bookmarkEnd w:id="76"/>
      <w:bookmarkEnd w:id="77"/>
      <w:bookmarkEnd w:id="78"/>
      <w:bookmarkEnd w:id="79"/>
      <w:r>
        <w:rPr>
          <w:rFonts w:ascii="Arial" w:hAnsi="Arial" w:cs="Arial"/>
        </w:rPr>
        <w:t>ANEXO 1</w:t>
      </w:r>
    </w:p>
    <w:p w:rsidR="00F87902" w:rsidRDefault="00F87902">
      <w:pPr>
        <w:spacing w:line="360" w:lineRule="auto"/>
        <w:jc w:val="both"/>
        <w:rPr>
          <w:rFonts w:ascii="Arial" w:hAnsi="Arial" w:cs="Arial"/>
          <w:b/>
        </w:rPr>
      </w:pPr>
    </w:p>
    <w:p w:rsidR="00F87902" w:rsidRDefault="00A519F9">
      <w:pPr>
        <w:spacing w:line="360" w:lineRule="auto"/>
        <w:jc w:val="center"/>
        <w:rPr>
          <w:rFonts w:ascii="Arial" w:hAnsi="Arial" w:cs="Arial"/>
          <w:b/>
        </w:rPr>
      </w:pPr>
      <w:r>
        <w:rPr>
          <w:rFonts w:ascii="Arial" w:hAnsi="Arial" w:cs="Arial"/>
          <w:b/>
        </w:rPr>
        <w:t xml:space="preserve">INSTRUMENTOS PARA LA ELABORACIÓN DEL INFORME SOBRE EL GRADO DE CUMPLIMIENTO DE OBJETIVOS Y METAS DEL POAI 2015 –corte a diciembre– </w:t>
      </w:r>
    </w:p>
    <w:p w:rsidR="00F87902" w:rsidRDefault="00A519F9">
      <w:pPr>
        <w:spacing w:line="360" w:lineRule="auto"/>
        <w:jc w:val="center"/>
        <w:rPr>
          <w:rFonts w:ascii="Arial" w:hAnsi="Arial" w:cs="Arial"/>
          <w:b/>
        </w:rPr>
      </w:pPr>
      <w:r>
        <w:rPr>
          <w:rFonts w:ascii="Arial" w:hAnsi="Arial" w:cs="Arial"/>
          <w:b/>
        </w:rPr>
        <w:t>(integrado y unidad)</w:t>
      </w:r>
      <w:r>
        <w:br w:type="page"/>
      </w:r>
    </w:p>
    <w:p w:rsidR="00F87902" w:rsidRDefault="00A519F9">
      <w:pPr>
        <w:rPr>
          <w:rFonts w:ascii="Arial" w:hAnsi="Arial" w:cs="Arial"/>
          <w:color w:val="0070C0"/>
          <w:lang w:val="es-CR"/>
        </w:rPr>
      </w:pPr>
      <w:r>
        <w:rPr>
          <w:rFonts w:ascii="Arial" w:hAnsi="Arial" w:cs="Arial"/>
          <w:noProof/>
          <w:color w:val="0070C0"/>
          <w:lang w:val="es-CR" w:eastAsia="es-CR"/>
        </w:rPr>
        <w:lastRenderedPageBreak/>
        <w:drawing>
          <wp:anchor distT="0" distB="0" distL="0" distR="0" simplePos="0" relativeHeight="3" behindDoc="0" locked="0" layoutInCell="1" allowOverlap="1">
            <wp:simplePos x="0" y="0"/>
            <wp:positionH relativeFrom="column">
              <wp:posOffset>-220980</wp:posOffset>
            </wp:positionH>
            <wp:positionV relativeFrom="paragraph">
              <wp:posOffset>-536575</wp:posOffset>
            </wp:positionV>
            <wp:extent cx="6659245" cy="3743325"/>
            <wp:effectExtent l="0" t="0" r="0" b="0"/>
            <wp:wrapSquare wrapText="largest"/>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pic:cNvPicPr>
                      <a:picLocks noChangeAspect="1" noChangeArrowheads="1"/>
                    </pic:cNvPicPr>
                  </pic:nvPicPr>
                  <pic:blipFill>
                    <a:blip r:embed="rId20"/>
                    <a:stretch>
                      <a:fillRect/>
                    </a:stretch>
                  </pic:blipFill>
                  <pic:spPr bwMode="auto">
                    <a:xfrm>
                      <a:off x="0" y="0"/>
                      <a:ext cx="6659245" cy="3743325"/>
                    </a:xfrm>
                    <a:prstGeom prst="rect">
                      <a:avLst/>
                    </a:prstGeom>
                  </pic:spPr>
                </pic:pic>
              </a:graphicData>
            </a:graphic>
          </wp:anchor>
        </w:drawing>
      </w:r>
    </w:p>
    <w:p w:rsidR="00F87902" w:rsidRDefault="00F87902">
      <w:pPr>
        <w:rPr>
          <w:rFonts w:ascii="Arial" w:hAnsi="Arial" w:cs="Arial"/>
          <w:color w:val="0070C0"/>
        </w:rPr>
      </w:pPr>
    </w:p>
    <w:p w:rsidR="00F87902" w:rsidRDefault="00A519F9">
      <w:pPr>
        <w:spacing w:line="360" w:lineRule="auto"/>
        <w:jc w:val="both"/>
        <w:rPr>
          <w:rFonts w:ascii="Arial" w:hAnsi="Arial" w:cs="Arial"/>
          <w:color w:val="0070C0"/>
        </w:rPr>
      </w:pPr>
      <w:r>
        <w:rPr>
          <w:rFonts w:ascii="Arial" w:hAnsi="Arial" w:cs="Arial"/>
          <w:noProof/>
          <w:color w:val="0070C0"/>
          <w:lang w:val="es-CR" w:eastAsia="es-CR"/>
        </w:rPr>
        <w:drawing>
          <wp:anchor distT="0" distB="0" distL="0" distR="0" simplePos="0" relativeHeight="2" behindDoc="0" locked="0" layoutInCell="1" allowOverlap="1">
            <wp:simplePos x="0" y="0"/>
            <wp:positionH relativeFrom="column">
              <wp:posOffset>-156845</wp:posOffset>
            </wp:positionH>
            <wp:positionV relativeFrom="paragraph">
              <wp:posOffset>116205</wp:posOffset>
            </wp:positionV>
            <wp:extent cx="6631305" cy="3727450"/>
            <wp:effectExtent l="0" t="0" r="0" b="0"/>
            <wp:wrapSquare wrapText="largest"/>
            <wp:docPr id="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
                    <pic:cNvPicPr>
                      <a:picLocks noChangeAspect="1" noChangeArrowheads="1"/>
                    </pic:cNvPicPr>
                  </pic:nvPicPr>
                  <pic:blipFill>
                    <a:blip r:embed="rId21"/>
                    <a:stretch>
                      <a:fillRect/>
                    </a:stretch>
                  </pic:blipFill>
                  <pic:spPr bwMode="auto">
                    <a:xfrm>
                      <a:off x="0" y="0"/>
                      <a:ext cx="6631305" cy="3727450"/>
                    </a:xfrm>
                    <a:prstGeom prst="rect">
                      <a:avLst/>
                    </a:prstGeom>
                  </pic:spPr>
                </pic:pic>
              </a:graphicData>
            </a:graphic>
          </wp:anchor>
        </w:drawing>
      </w:r>
    </w:p>
    <w:p w:rsidR="00F87902" w:rsidRDefault="00F87902">
      <w:pPr>
        <w:spacing w:line="360" w:lineRule="auto"/>
        <w:jc w:val="both"/>
        <w:rPr>
          <w:rFonts w:ascii="Arial" w:hAnsi="Arial" w:cs="Arial"/>
          <w:color w:val="0070C0"/>
        </w:rPr>
      </w:pPr>
    </w:p>
    <w:p w:rsidR="00F87902" w:rsidRDefault="00A519F9">
      <w:pPr>
        <w:spacing w:line="360" w:lineRule="auto"/>
        <w:jc w:val="both"/>
        <w:rPr>
          <w:rFonts w:ascii="Arial" w:hAnsi="Arial" w:cs="Arial"/>
        </w:rPr>
      </w:pPr>
      <w:r>
        <w:br w:type="page"/>
      </w: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F87902">
      <w:pPr>
        <w:pStyle w:val="Encabezado1"/>
        <w:spacing w:line="360" w:lineRule="auto"/>
        <w:rPr>
          <w:rFonts w:ascii="Arial" w:hAnsi="Arial" w:cs="Arial"/>
        </w:rPr>
      </w:pPr>
    </w:p>
    <w:p w:rsidR="00F87902" w:rsidRDefault="00A519F9">
      <w:pPr>
        <w:pStyle w:val="Encabezado1"/>
        <w:spacing w:line="360" w:lineRule="auto"/>
      </w:pPr>
      <w:bookmarkStart w:id="80" w:name="_Toc205107173"/>
      <w:bookmarkStart w:id="81" w:name="_Toc205107644"/>
      <w:bookmarkStart w:id="82" w:name="_Toc205089022"/>
      <w:bookmarkStart w:id="83" w:name="_Toc205089188"/>
      <w:bookmarkStart w:id="84" w:name="_Toc205101591"/>
      <w:bookmarkStart w:id="85" w:name="_Toc205106834"/>
      <w:bookmarkStart w:id="86" w:name="_Toc205107279"/>
      <w:bookmarkStart w:id="87" w:name="_Toc205107625"/>
      <w:bookmarkStart w:id="88" w:name="_Toc205107679"/>
      <w:bookmarkStart w:id="89" w:name="_Toc205108268"/>
      <w:bookmarkStart w:id="90" w:name="_Toc205101728"/>
      <w:bookmarkStart w:id="91" w:name="_Toc348683626"/>
      <w:bookmarkStart w:id="92" w:name="_Toc237747467"/>
      <w:r>
        <w:rPr>
          <w:rFonts w:ascii="Arial" w:hAnsi="Arial" w:cs="Arial"/>
        </w:rPr>
        <w:t xml:space="preserve">ANEXO </w:t>
      </w:r>
      <w:bookmarkEnd w:id="80"/>
      <w:bookmarkEnd w:id="81"/>
      <w:bookmarkEnd w:id="82"/>
      <w:bookmarkEnd w:id="83"/>
      <w:bookmarkEnd w:id="84"/>
      <w:bookmarkEnd w:id="85"/>
      <w:bookmarkEnd w:id="86"/>
      <w:bookmarkEnd w:id="87"/>
      <w:bookmarkEnd w:id="88"/>
      <w:bookmarkEnd w:id="89"/>
      <w:bookmarkEnd w:id="90"/>
      <w:bookmarkEnd w:id="91"/>
      <w:bookmarkEnd w:id="92"/>
      <w:r>
        <w:rPr>
          <w:rFonts w:ascii="Arial" w:hAnsi="Arial" w:cs="Arial"/>
        </w:rPr>
        <w:t>2</w:t>
      </w:r>
    </w:p>
    <w:p w:rsidR="00F87902" w:rsidRDefault="00F87902">
      <w:pPr>
        <w:rPr>
          <w:rFonts w:ascii="Arial" w:hAnsi="Arial" w:cs="Arial"/>
          <w:sz w:val="32"/>
          <w:lang w:val="pt-BR"/>
        </w:rPr>
      </w:pPr>
    </w:p>
    <w:p w:rsidR="00F87902" w:rsidRDefault="00A519F9">
      <w:pPr>
        <w:spacing w:line="360" w:lineRule="auto"/>
        <w:jc w:val="both"/>
        <w:rPr>
          <w:rFonts w:ascii="Arial" w:hAnsi="Arial" w:cs="Arial"/>
          <w:b/>
          <w:lang w:val="pt-BR"/>
        </w:rPr>
      </w:pPr>
      <w:r>
        <w:rPr>
          <w:rFonts w:ascii="Arial" w:hAnsi="Arial" w:cs="Arial"/>
          <w:b/>
          <w:lang w:val="pt-BR"/>
        </w:rPr>
        <w:t xml:space="preserve">                                          CIRCULAR Apeuna-CIRC-007-2015</w:t>
      </w:r>
    </w:p>
    <w:p w:rsidR="00F87902" w:rsidRDefault="00F87902">
      <w:pPr>
        <w:spacing w:line="360" w:lineRule="auto"/>
        <w:jc w:val="both"/>
        <w:rPr>
          <w:rFonts w:ascii="Arial" w:hAnsi="Arial" w:cs="Arial"/>
          <w:lang w:val="pt-BR"/>
        </w:rPr>
      </w:pPr>
    </w:p>
    <w:p w:rsidR="00F87902" w:rsidRDefault="00F87902">
      <w:pPr>
        <w:spacing w:line="360" w:lineRule="auto"/>
        <w:jc w:val="both"/>
        <w:rPr>
          <w:rFonts w:ascii="Arial" w:hAnsi="Arial" w:cs="Arial"/>
          <w:color w:val="0070C0"/>
          <w:lang w:val="pt-BR"/>
        </w:rPr>
      </w:pPr>
    </w:p>
    <w:p w:rsidR="00F87902" w:rsidRDefault="00F87902">
      <w:pPr>
        <w:spacing w:line="360" w:lineRule="auto"/>
        <w:jc w:val="both"/>
        <w:rPr>
          <w:rFonts w:ascii="Arial" w:hAnsi="Arial" w:cs="Arial"/>
          <w:color w:val="0070C0"/>
          <w:lang w:val="pt-BR"/>
        </w:rPr>
      </w:pPr>
    </w:p>
    <w:p w:rsidR="00F87902" w:rsidRDefault="00F87902">
      <w:pPr>
        <w:spacing w:line="360" w:lineRule="auto"/>
        <w:jc w:val="both"/>
        <w:rPr>
          <w:rFonts w:ascii="Arial" w:hAnsi="Arial" w:cs="Arial"/>
          <w:color w:val="0070C0"/>
          <w:lang w:val="pt-BR"/>
        </w:rPr>
      </w:pPr>
    </w:p>
    <w:p w:rsidR="00F87902" w:rsidRDefault="00F87902">
      <w:pPr>
        <w:spacing w:line="360" w:lineRule="auto"/>
        <w:jc w:val="both"/>
        <w:rPr>
          <w:rFonts w:ascii="Arial" w:hAnsi="Arial" w:cs="Arial"/>
          <w:color w:val="0070C0"/>
          <w:lang w:val="pt-BR"/>
        </w:rPr>
      </w:pPr>
    </w:p>
    <w:p w:rsidR="00F87902" w:rsidRDefault="00A519F9">
      <w:pPr>
        <w:rPr>
          <w:rFonts w:ascii="Arial" w:hAnsi="Arial" w:cs="Arial"/>
          <w:i/>
          <w:color w:val="0070C0"/>
          <w:sz w:val="20"/>
          <w:szCs w:val="20"/>
          <w:lang w:val="es-CR" w:eastAsia="en-US"/>
        </w:rPr>
      </w:pPr>
      <w:r>
        <w:br w:type="page"/>
      </w:r>
    </w:p>
    <w:tbl>
      <w:tblPr>
        <w:tblW w:w="7739" w:type="dxa"/>
        <w:tblCellMar>
          <w:left w:w="0" w:type="dxa"/>
          <w:right w:w="0" w:type="dxa"/>
        </w:tblCellMar>
        <w:tblLook w:val="04A0"/>
      </w:tblPr>
      <w:tblGrid>
        <w:gridCol w:w="7650"/>
        <w:gridCol w:w="37"/>
        <w:gridCol w:w="52"/>
      </w:tblGrid>
      <w:tr w:rsidR="00F87902">
        <w:tc>
          <w:tcPr>
            <w:tcW w:w="7650" w:type="dxa"/>
            <w:shd w:val="clear" w:color="auto" w:fill="auto"/>
            <w:vAlign w:val="center"/>
          </w:tcPr>
          <w:p w:rsidR="00F87902" w:rsidRDefault="00A519F9">
            <w:pPr>
              <w:pageBreakBefore/>
            </w:pPr>
            <w:r>
              <w:rPr>
                <w:i/>
              </w:rPr>
              <w:lastRenderedPageBreak/>
              <w:t>26 de octubre del 2015</w:t>
            </w:r>
            <w:r>
              <w:rPr>
                <w:i/>
              </w:rPr>
              <w:br/>
              <w:t>*</w:t>
            </w:r>
            <w:r>
              <w:rPr>
                <w:rStyle w:val="il"/>
                <w:i/>
              </w:rPr>
              <w:t>UNA</w:t>
            </w:r>
            <w:r>
              <w:rPr>
                <w:i/>
              </w:rPr>
              <w:t>-</w:t>
            </w:r>
            <w:r>
              <w:rPr>
                <w:rStyle w:val="il"/>
                <w:i/>
              </w:rPr>
              <w:t>Apeuna</w:t>
            </w:r>
            <w:r>
              <w:rPr>
                <w:i/>
              </w:rPr>
              <w:t>-CIRC-007-2015*</w:t>
            </w:r>
            <w:r>
              <w:rPr>
                <w:i/>
              </w:rPr>
              <w:br/>
            </w:r>
            <w:r>
              <w:rPr>
                <w:i/>
              </w:rPr>
              <w:br/>
            </w:r>
            <w:r>
              <w:rPr>
                <w:i/>
              </w:rPr>
              <w:br/>
            </w:r>
            <w:r>
              <w:rPr>
                <w:i/>
              </w:rPr>
              <w:br/>
            </w:r>
            <w:r>
              <w:rPr>
                <w:i/>
              </w:rPr>
              <w:br/>
            </w:r>
            <w:r>
              <w:rPr>
                <w:i/>
              </w:rPr>
              <w:br/>
              <w:t>Señores y señoras</w:t>
            </w:r>
            <w:r>
              <w:rPr>
                <w:i/>
              </w:rPr>
              <w:br/>
              <w:t>Rector</w:t>
            </w:r>
            <w:r>
              <w:rPr>
                <w:i/>
              </w:rPr>
              <w:br/>
              <w:t>Vicerrector (as), decanos (as), vicedecanos (as)</w:t>
            </w:r>
            <w:r>
              <w:rPr>
                <w:i/>
              </w:rPr>
              <w:br/>
              <w:t>Directores (as) administrativos (as) de facultad, centro y sede,</w:t>
            </w:r>
            <w:r>
              <w:rPr>
                <w:i/>
              </w:rPr>
              <w:br/>
              <w:t>Directores (as), subdirectores (as) y asistentes administrativos (as)</w:t>
            </w:r>
            <w:r>
              <w:rPr>
                <w:i/>
              </w:rPr>
              <w:br/>
              <w:t>de unidades académicas y administrativas,</w:t>
            </w:r>
            <w:r>
              <w:rPr>
                <w:i/>
              </w:rPr>
              <w:br/>
              <w:t>Presidentes (as) de órganos desconcentrados</w:t>
            </w:r>
            <w:r>
              <w:rPr>
                <w:i/>
              </w:rPr>
              <w:br/>
            </w:r>
            <w:r>
              <w:rPr>
                <w:i/>
              </w:rPr>
              <w:br/>
            </w:r>
            <w:r>
              <w:rPr>
                <w:i/>
              </w:rPr>
              <w:br/>
              <w:t>Asunto: *Evaluación Plan operativo anual 2015*</w:t>
            </w:r>
            <w:r>
              <w:rPr>
                <w:i/>
              </w:rPr>
              <w:br/>
            </w:r>
            <w:r>
              <w:rPr>
                <w:i/>
              </w:rPr>
              <w:br/>
              <w:t>De acuerdo con lo dispuesto en el Artículo No. 44 de las Directrices</w:t>
            </w:r>
            <w:r>
              <w:rPr>
                <w:i/>
              </w:rPr>
              <w:br/>
              <w:t>institucionales para la formulación, la aprobación, la ejecución, la</w:t>
            </w:r>
            <w:r>
              <w:rPr>
                <w:i/>
              </w:rPr>
              <w:br/>
              <w:t>evaluación y el seguimiento del Plan operativo anual institucional (POAI)</w:t>
            </w:r>
            <w:r>
              <w:rPr>
                <w:i/>
              </w:rPr>
              <w:br/>
              <w:t>que indica:</w:t>
            </w:r>
            <w:r>
              <w:rPr>
                <w:i/>
              </w:rPr>
              <w:br/>
            </w:r>
            <w:r>
              <w:rPr>
                <w:i/>
              </w:rPr>
              <w:br/>
              <w:t>·         *Las unidades ejecutoras deben evaluar el grado de cumplimiento</w:t>
            </w:r>
            <w:r>
              <w:rPr>
                <w:i/>
              </w:rPr>
              <w:br/>
              <w:t>de objetivos y metas del Plan operativo anual dos veces al año, en junio y</w:t>
            </w:r>
            <w:r>
              <w:rPr>
                <w:i/>
              </w:rPr>
              <w:br/>
              <w:t>noviembre.*</w:t>
            </w:r>
            <w:r>
              <w:rPr>
                <w:i/>
              </w:rPr>
              <w:br/>
            </w:r>
            <w:r>
              <w:rPr>
                <w:i/>
              </w:rPr>
              <w:br/>
              <w:t>·         *En el caso de las unidades académicas el informe deberá estar</w:t>
            </w:r>
            <w:r>
              <w:rPr>
                <w:i/>
              </w:rPr>
              <w:br/>
              <w:t>consolidado en el ámbito de facultad, centro o sede, y debidamente aprobado</w:t>
            </w:r>
            <w:r>
              <w:rPr>
                <w:i/>
              </w:rPr>
              <w:br/>
              <w:t>por el respectivo consejo académico.*</w:t>
            </w:r>
            <w:r>
              <w:rPr>
                <w:i/>
              </w:rPr>
              <w:br/>
            </w:r>
            <w:r>
              <w:rPr>
                <w:i/>
              </w:rPr>
              <w:br/>
              <w:t>·         *En el caso de las unidades administrativas y paraacadémicas, el</w:t>
            </w:r>
            <w:r>
              <w:rPr>
                <w:i/>
              </w:rPr>
              <w:br/>
              <w:t>informe deberá estar consolidado en el ámbito de vicerrectoría, o Rectoría,</w:t>
            </w:r>
            <w:r>
              <w:rPr>
                <w:i/>
              </w:rPr>
              <w:br/>
              <w:t>según corresponda.*</w:t>
            </w:r>
            <w:r>
              <w:rPr>
                <w:i/>
              </w:rPr>
              <w:br/>
            </w:r>
            <w:r>
              <w:rPr>
                <w:i/>
              </w:rPr>
              <w:br/>
              <w:t>·         *Los órganos  desconcentrados y los colegiados deberán remitir el</w:t>
            </w:r>
            <w:r>
              <w:rPr>
                <w:i/>
              </w:rPr>
              <w:br/>
              <w:t>informe directamente al Área de Planificación.*</w:t>
            </w:r>
            <w:r>
              <w:rPr>
                <w:i/>
              </w:rPr>
              <w:br/>
            </w:r>
            <w:r>
              <w:rPr>
                <w:i/>
              </w:rPr>
              <w:br/>
              <w:t>Bajo este fundamento, el Área de Planificación, como instancia responsable</w:t>
            </w:r>
            <w:r>
              <w:rPr>
                <w:i/>
              </w:rPr>
              <w:br/>
              <w:t>de facilitar, asesorar y coordinar esta etapa, pone a su disposición el</w:t>
            </w:r>
            <w:r>
              <w:rPr>
                <w:i/>
              </w:rPr>
              <w:br/>
              <w:t>módulo automatizado” Sistema de Planificación Presupuesto Institucional” en</w:t>
            </w:r>
            <w:r>
              <w:rPr>
                <w:i/>
              </w:rPr>
              <w:br/>
              <w:t xml:space="preserve">la dirección electrónica </w:t>
            </w:r>
            <w:hyperlink r:id="rId22">
              <w:r>
                <w:rPr>
                  <w:rStyle w:val="EnlacedeInternet"/>
                  <w:i/>
                </w:rPr>
                <w:t>http://www.cgi.</w:t>
              </w:r>
              <w:r>
                <w:rPr>
                  <w:rStyle w:val="il"/>
                  <w:i/>
                  <w:color w:val="0000FF"/>
                  <w:u w:val="single"/>
                </w:rPr>
                <w:t>una</w:t>
              </w:r>
              <w:r>
                <w:rPr>
                  <w:rStyle w:val="EnlacedeInternet"/>
                  <w:i/>
                </w:rPr>
                <w:t>.ac.cr/sppi/</w:t>
              </w:r>
            </w:hyperlink>
            <w:r>
              <w:rPr>
                <w:i/>
              </w:rPr>
              <w:t>, a partir del 02 de</w:t>
            </w:r>
            <w:r>
              <w:rPr>
                <w:i/>
              </w:rPr>
              <w:br/>
              <w:t>noviembre del 2015, que permitirá incluir la información respectiva para</w:t>
            </w:r>
            <w:r>
              <w:rPr>
                <w:i/>
              </w:rPr>
              <w:br/>
              <w:t>elaborar el informe sobre el grado de cumplimiento de los objetivos y las</w:t>
            </w:r>
            <w:r>
              <w:rPr>
                <w:i/>
              </w:rPr>
              <w:br/>
              <w:t>metas de unidades, y el documento integrado por facultad, centro, sede,</w:t>
            </w:r>
            <w:r>
              <w:rPr>
                <w:i/>
              </w:rPr>
              <w:br/>
              <w:t>vicerrectoría, y Rectoría, según corresponda.</w:t>
            </w:r>
            <w:r>
              <w:rPr>
                <w:i/>
              </w:rPr>
              <w:br/>
              <w:t>El acceso a dicho módulo se hará mediante el uso del mismo código de</w:t>
            </w:r>
            <w:r>
              <w:rPr>
                <w:i/>
              </w:rPr>
              <w:br/>
            </w:r>
            <w:r>
              <w:rPr>
                <w:i/>
              </w:rPr>
              <w:lastRenderedPageBreak/>
              <w:t>usuario que se les ha proporcionado para ocasiones anteriores.</w:t>
            </w:r>
            <w:r>
              <w:rPr>
                <w:i/>
              </w:rPr>
              <w:br/>
            </w:r>
            <w:r>
              <w:rPr>
                <w:i/>
              </w:rPr>
              <w:br/>
              <w:t>Adicionalmente, las orientaciones generales para la elaboración del informe</w:t>
            </w:r>
            <w:r>
              <w:rPr>
                <w:i/>
              </w:rPr>
              <w:br/>
              <w:t>de marras se encuentran disponibles en la dirección electrónica</w:t>
            </w:r>
            <w:r>
              <w:rPr>
                <w:i/>
              </w:rPr>
              <w:br/>
            </w:r>
            <w:hyperlink r:id="rId23">
              <w:r>
                <w:rPr>
                  <w:rStyle w:val="EnlacedeInternet"/>
                  <w:i/>
                </w:rPr>
                <w:t>http://www.</w:t>
              </w:r>
              <w:r>
                <w:rPr>
                  <w:rStyle w:val="il"/>
                  <w:i/>
                  <w:color w:val="0000FF"/>
                  <w:u w:val="single"/>
                </w:rPr>
                <w:t>apeuna</w:t>
              </w:r>
              <w:r>
                <w:rPr>
                  <w:rStyle w:val="EnlacedeInternet"/>
                  <w:i/>
                </w:rPr>
                <w:t>.</w:t>
              </w:r>
              <w:r>
                <w:rPr>
                  <w:rStyle w:val="il"/>
                  <w:i/>
                  <w:color w:val="0000FF"/>
                  <w:u w:val="single"/>
                </w:rPr>
                <w:t>una</w:t>
              </w:r>
              <w:r>
                <w:rPr>
                  <w:rStyle w:val="EnlacedeInternet"/>
                  <w:i/>
                </w:rPr>
                <w:t>.ac.cr/</w:t>
              </w:r>
            </w:hyperlink>
            <w:r>
              <w:rPr>
                <w:i/>
              </w:rPr>
              <w:t>, en “Sistemas y Manuales”, “Evaluación y</w:t>
            </w:r>
            <w:r>
              <w:rPr>
                <w:i/>
              </w:rPr>
              <w:br/>
              <w:t>control”, “Orientaciones Evaluación POA”.</w:t>
            </w:r>
            <w:r>
              <w:rPr>
                <w:i/>
              </w:rPr>
              <w:br/>
            </w:r>
            <w:r>
              <w:rPr>
                <w:i/>
              </w:rPr>
              <w:br/>
              <w:t>El plazo previsto para la entrega del informe de evaluación –para el</w:t>
            </w:r>
            <w:r>
              <w:rPr>
                <w:i/>
              </w:rPr>
              <w:br/>
              <w:t>periodo del 1º de enero al 31 de diciembre– por unidad ejecutora, y los</w:t>
            </w:r>
            <w:r>
              <w:rPr>
                <w:i/>
              </w:rPr>
              <w:br/>
              <w:t>integrados por facultad, centro, sede, vicerrectoría y Rectoría, en el Área</w:t>
            </w:r>
            <w:r>
              <w:rPr>
                <w:i/>
              </w:rPr>
              <w:br/>
              <w:t>de Planificación es el viernes 04 de diciembre del 2015.</w:t>
            </w:r>
            <w:r>
              <w:rPr>
                <w:i/>
              </w:rPr>
              <w:br/>
            </w:r>
            <w:r>
              <w:rPr>
                <w:i/>
              </w:rPr>
              <w:br/>
              <w:t>El periodo en cuestión contempla del 02 de noviembre al 27 de noviembre</w:t>
            </w:r>
            <w:r>
              <w:rPr>
                <w:i/>
              </w:rPr>
              <w:br/>
              <w:t>para que las unidades elaboren sus informes y los presenten en sus espacios</w:t>
            </w:r>
            <w:r>
              <w:rPr>
                <w:i/>
              </w:rPr>
              <w:br/>
              <w:t>respectivos de integración; proceso que se deberá realizar entre el 23 de</w:t>
            </w:r>
            <w:r>
              <w:rPr>
                <w:i/>
              </w:rPr>
              <w:br/>
              <w:t>noviembre y el 04 de diciembre en facultades, centros, sedes,</w:t>
            </w:r>
            <w:r>
              <w:rPr>
                <w:i/>
              </w:rPr>
              <w:br/>
              <w:t>vicerrectorías y Rectoría. El traslape de las fechas tiene la intención de</w:t>
            </w:r>
            <w:r>
              <w:rPr>
                <w:i/>
              </w:rPr>
              <w:br/>
              <w:t>permitir a las instancias de integración realizar las revisiones y proponer</w:t>
            </w:r>
            <w:r>
              <w:rPr>
                <w:i/>
              </w:rPr>
              <w:br/>
              <w:t>los cambios necesarios a las evaluaciones presentadas por sus unidades</w:t>
            </w:r>
            <w:r>
              <w:rPr>
                <w:i/>
              </w:rPr>
              <w:br/>
              <w:t>adscritas.</w:t>
            </w:r>
            <w:r>
              <w:rPr>
                <w:i/>
              </w:rPr>
              <w:br/>
            </w:r>
            <w:r>
              <w:rPr>
                <w:i/>
              </w:rPr>
              <w:br/>
              <w:t>Cabe indicar que las unidades no sujetas a integración deberán remitir sus</w:t>
            </w:r>
            <w:r>
              <w:rPr>
                <w:i/>
              </w:rPr>
              <w:br/>
              <w:t>informes a más tardar el 30 de noviembre del 2015.</w:t>
            </w:r>
            <w:r>
              <w:rPr>
                <w:i/>
              </w:rPr>
              <w:br/>
            </w:r>
            <w:r>
              <w:rPr>
                <w:i/>
              </w:rPr>
              <w:br/>
              <w:t>Agradezco la cuidadosa y puntual atención de esta tarea institucional.</w:t>
            </w:r>
            <w:r>
              <w:rPr>
                <w:i/>
              </w:rPr>
              <w:br/>
            </w:r>
            <w:r>
              <w:rPr>
                <w:i/>
              </w:rPr>
              <w:br/>
              <w:t>Atentamente,</w:t>
            </w:r>
            <w:r>
              <w:rPr>
                <w:i/>
              </w:rPr>
              <w:br/>
            </w:r>
            <w:r>
              <w:rPr>
                <w:i/>
              </w:rPr>
              <w:br/>
            </w:r>
            <w:r>
              <w:rPr>
                <w:i/>
              </w:rPr>
              <w:br/>
            </w:r>
            <w:r>
              <w:rPr>
                <w:i/>
              </w:rPr>
              <w:br/>
              <w:t>Juan Miguel Herrera Delgado</w:t>
            </w:r>
            <w:r>
              <w:rPr>
                <w:i/>
              </w:rPr>
              <w:br/>
              <w:t>Director, Área de Planificación</w:t>
            </w:r>
          </w:p>
        </w:tc>
        <w:tc>
          <w:tcPr>
            <w:tcW w:w="37" w:type="dxa"/>
            <w:shd w:val="clear" w:color="auto" w:fill="auto"/>
            <w:vAlign w:val="center"/>
          </w:tcPr>
          <w:p w:rsidR="00F87902" w:rsidRDefault="00F87902">
            <w:pPr>
              <w:rPr>
                <w:i/>
                <w:color w:val="0070C0"/>
                <w:lang w:val="es-CR"/>
              </w:rPr>
            </w:pPr>
          </w:p>
        </w:tc>
        <w:tc>
          <w:tcPr>
            <w:tcW w:w="52" w:type="dxa"/>
            <w:shd w:val="clear" w:color="auto" w:fill="auto"/>
            <w:vAlign w:val="center"/>
          </w:tcPr>
          <w:p w:rsidR="00F87902" w:rsidRDefault="00F87902">
            <w:pPr>
              <w:rPr>
                <w:i/>
                <w:color w:val="0070C0"/>
              </w:rPr>
            </w:pPr>
          </w:p>
        </w:tc>
      </w:tr>
    </w:tbl>
    <w:p w:rsidR="00F87902" w:rsidRDefault="00F87902">
      <w:pPr>
        <w:ind w:left="708"/>
        <w:jc w:val="both"/>
      </w:pPr>
    </w:p>
    <w:sectPr w:rsidR="00F87902" w:rsidSect="00992B8F">
      <w:footerReference w:type="default" r:id="rId24"/>
      <w:pgSz w:w="12240" w:h="15840"/>
      <w:pgMar w:top="1412" w:right="1009" w:bottom="1412" w:left="1440" w:header="0" w:footer="720" w:gutter="0"/>
      <w:cols w:space="720"/>
      <w:formProt w:val="0"/>
      <w:titlePg/>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15D" w:rsidRDefault="00AB215D">
      <w:r>
        <w:separator/>
      </w:r>
    </w:p>
  </w:endnote>
  <w:endnote w:type="continuationSeparator" w:id="1">
    <w:p w:rsidR="00AB215D" w:rsidRDefault="00AB21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C9" w:rsidRDefault="00C575C9">
    <w:pPr>
      <w:pStyle w:val="Piedepgina"/>
      <w:jc w:val="right"/>
    </w:pPr>
  </w:p>
  <w:p w:rsidR="00C575C9" w:rsidRDefault="00C575C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42039"/>
      <w:docPartObj>
        <w:docPartGallery w:val="Page Numbers (Bottom of Page)"/>
        <w:docPartUnique/>
      </w:docPartObj>
    </w:sdtPr>
    <w:sdtContent>
      <w:p w:rsidR="00C575C9" w:rsidRDefault="00C41CC7">
        <w:pPr>
          <w:pStyle w:val="Piedepgina"/>
          <w:jc w:val="right"/>
        </w:pPr>
        <w:fldSimple w:instr="PAGE">
          <w:r w:rsidR="009A6DCD">
            <w:rPr>
              <w:noProof/>
            </w:rPr>
            <w:t>2</w:t>
          </w:r>
        </w:fldSimple>
      </w:p>
      <w:p w:rsidR="00C575C9" w:rsidRDefault="00C41CC7">
        <w:pPr>
          <w:pStyle w:val="Piedepgina"/>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C9" w:rsidRDefault="00C575C9">
    <w:pPr>
      <w:pStyle w:val="Piedepgina"/>
      <w:jc w:val="right"/>
    </w:pPr>
  </w:p>
  <w:p w:rsidR="00C575C9" w:rsidRDefault="00C575C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805926"/>
      <w:docPartObj>
        <w:docPartGallery w:val="Page Numbers (Bottom of Page)"/>
        <w:docPartUnique/>
      </w:docPartObj>
    </w:sdtPr>
    <w:sdtContent>
      <w:p w:rsidR="00C575C9" w:rsidRDefault="00C41CC7">
        <w:pPr>
          <w:pStyle w:val="Piedepgina"/>
          <w:jc w:val="right"/>
        </w:pPr>
        <w:fldSimple w:instr="PAGE">
          <w:r w:rsidR="009A6DCD">
            <w:rPr>
              <w:noProof/>
            </w:rPr>
            <w:t>33</w:t>
          </w:r>
        </w:fldSimple>
      </w:p>
      <w:p w:rsidR="00C575C9" w:rsidRDefault="00C41CC7">
        <w:pPr>
          <w:pStyle w:val="Piedepgina"/>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C9" w:rsidRDefault="00C41CC7">
    <w:pPr>
      <w:pStyle w:val="Piedepgina"/>
      <w:jc w:val="right"/>
    </w:pPr>
    <w:fldSimple w:instr="PAGE">
      <w:r w:rsidR="009A6DCD">
        <w:rPr>
          <w:noProof/>
        </w:rPr>
        <w:t>45</w:t>
      </w:r>
    </w:fldSimple>
  </w:p>
  <w:p w:rsidR="00C575C9" w:rsidRDefault="00C575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15D" w:rsidRDefault="00AB215D"/>
  </w:footnote>
  <w:footnote w:type="continuationSeparator" w:id="1">
    <w:p w:rsidR="00AB215D" w:rsidRDefault="00AB215D">
      <w:r>
        <w:continuationSeparator/>
      </w:r>
    </w:p>
  </w:footnote>
  <w:footnote w:id="2">
    <w:p w:rsidR="00C575C9" w:rsidRDefault="00C575C9">
      <w:pPr>
        <w:pStyle w:val="Textonotapie"/>
      </w:pPr>
      <w:r>
        <w:rPr>
          <w:rStyle w:val="Refdenotaalpie"/>
        </w:rPr>
        <w:footnoteRef/>
      </w:r>
      <w:r>
        <w:rPr>
          <w:rStyle w:val="Refdenotaalpie"/>
        </w:rPr>
        <w:tab/>
      </w:r>
      <w:r>
        <w:rPr>
          <w:rFonts w:ascii="Arial" w:hAnsi="Arial" w:cs="Arial"/>
          <w:sz w:val="18"/>
          <w:szCs w:val="18"/>
        </w:rPr>
        <w:t>En el Anexo 2 se incluye la circular Apeuna-CIRC-007-2015.</w:t>
      </w:r>
    </w:p>
  </w:footnote>
  <w:footnote w:id="3">
    <w:p w:rsidR="00C575C9" w:rsidRDefault="00C575C9">
      <w:pPr>
        <w:pStyle w:val="Textonotapie"/>
      </w:pPr>
      <w:r>
        <w:rPr>
          <w:rStyle w:val="Refdenotaalpie"/>
          <w:rFonts w:ascii="Arial" w:hAnsi="Arial" w:cs="Arial"/>
          <w:sz w:val="18"/>
          <w:szCs w:val="18"/>
        </w:rPr>
        <w:footnoteRef/>
      </w:r>
      <w:r>
        <w:rPr>
          <w:rStyle w:val="Refdenotaalpie"/>
          <w:rFonts w:ascii="Arial" w:hAnsi="Arial" w:cs="Arial"/>
          <w:sz w:val="18"/>
          <w:szCs w:val="18"/>
        </w:rPr>
        <w:tab/>
      </w:r>
      <w:r>
        <w:rPr>
          <w:rFonts w:ascii="Arial" w:hAnsi="Arial" w:cs="Arial"/>
          <w:sz w:val="16"/>
          <w:szCs w:val="16"/>
        </w:rPr>
        <w:t>El cumplimiento se expresa en valores absolutos, relativos o ambos. Los porcentajes que se muestran entre paréntesis corresponden al logro con respecto a la meta formulada.</w:t>
      </w:r>
    </w:p>
  </w:footnote>
  <w:footnote w:id="4">
    <w:p w:rsidR="00C575C9" w:rsidRPr="007609EA" w:rsidRDefault="00C575C9" w:rsidP="007D7680">
      <w:pPr>
        <w:rPr>
          <w:rFonts w:ascii="Calibri" w:hAnsi="Calibri" w:cs="Arial"/>
          <w:sz w:val="20"/>
          <w:szCs w:val="20"/>
        </w:rPr>
      </w:pPr>
      <w:r w:rsidRPr="007609EA">
        <w:rPr>
          <w:rFonts w:ascii="Calibri" w:hAnsi="Calibri" w:cs="Arial"/>
          <w:sz w:val="16"/>
          <w:szCs w:val="16"/>
        </w:rPr>
        <w:footnoteRef/>
      </w:r>
      <w:r w:rsidRPr="007609EA">
        <w:rPr>
          <w:rFonts w:ascii="Calibri" w:hAnsi="Calibri" w:cs="Arial"/>
          <w:sz w:val="20"/>
          <w:szCs w:val="20"/>
        </w:rPr>
        <w:t xml:space="preserve"> Información con </w:t>
      </w:r>
      <w:r w:rsidRPr="00300AE3">
        <w:rPr>
          <w:rFonts w:ascii="Calibri" w:hAnsi="Calibri" w:cs="Arial"/>
          <w:sz w:val="20"/>
          <w:szCs w:val="20"/>
        </w:rPr>
        <w:t>corte al 8 de diciembre del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2E5D"/>
    <w:multiLevelType w:val="multilevel"/>
    <w:tmpl w:val="C36C8AA4"/>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b/>
        <w:sz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b/>
        <w:sz w:val="22"/>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b/>
        <w:sz w:val="22"/>
      </w:rPr>
    </w:lvl>
  </w:abstractNum>
  <w:abstractNum w:abstractNumId="1">
    <w:nsid w:val="00EF0529"/>
    <w:multiLevelType w:val="multilevel"/>
    <w:tmpl w:val="5792EE8E"/>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b/>
        <w:sz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b/>
        <w:sz w:val="22"/>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b/>
        <w:sz w:val="22"/>
      </w:rPr>
    </w:lvl>
  </w:abstractNum>
  <w:abstractNum w:abstractNumId="2">
    <w:nsid w:val="01734797"/>
    <w:multiLevelType w:val="multilevel"/>
    <w:tmpl w:val="856C020A"/>
    <w:lvl w:ilvl="0">
      <w:start w:val="1"/>
      <w:numFmt w:val="bullet"/>
      <w:lvlText w:val="o"/>
      <w:lvlJc w:val="left"/>
      <w:pPr>
        <w:ind w:left="720" w:hanging="360"/>
      </w:pPr>
      <w:rPr>
        <w:rFonts w:ascii="Courier New" w:hAnsi="Courier New" w:cs="Courier New" w:hint="default"/>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b/>
        <w:sz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b/>
        <w:sz w:val="22"/>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b/>
        <w:sz w:val="22"/>
      </w:rPr>
    </w:lvl>
  </w:abstractNum>
  <w:abstractNum w:abstractNumId="3">
    <w:nsid w:val="08333202"/>
    <w:multiLevelType w:val="multilevel"/>
    <w:tmpl w:val="6E80BBFA"/>
    <w:lvl w:ilvl="0">
      <w:start w:val="1"/>
      <w:numFmt w:val="bullet"/>
      <w:lvlText w:val=""/>
      <w:lvlJc w:val="left"/>
      <w:pPr>
        <w:ind w:left="1428"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4">
    <w:nsid w:val="0A115C77"/>
    <w:multiLevelType w:val="multilevel"/>
    <w:tmpl w:val="330A561A"/>
    <w:lvl w:ilvl="0">
      <w:start w:val="1"/>
      <w:numFmt w:val="bullet"/>
      <w:lvlText w:val=""/>
      <w:lvlJc w:val="left"/>
      <w:pPr>
        <w:ind w:left="1428"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5">
    <w:nsid w:val="111173CE"/>
    <w:multiLevelType w:val="multilevel"/>
    <w:tmpl w:val="F43C5204"/>
    <w:lvl w:ilvl="0">
      <w:start w:val="1"/>
      <w:numFmt w:val="bullet"/>
      <w:lvlText w:val="o"/>
      <w:lvlJc w:val="left"/>
      <w:pPr>
        <w:ind w:left="1788" w:hanging="360"/>
      </w:pPr>
      <w:rPr>
        <w:rFonts w:ascii="Courier New" w:hAnsi="Courier New" w:cs="Courier New" w:hint="default"/>
        <w:sz w:val="22"/>
      </w:rPr>
    </w:lvl>
    <w:lvl w:ilvl="1">
      <w:start w:val="1"/>
      <w:numFmt w:val="bullet"/>
      <w:lvlText w:val="o"/>
      <w:lvlJc w:val="left"/>
      <w:pPr>
        <w:ind w:left="2508" w:hanging="360"/>
      </w:pPr>
      <w:rPr>
        <w:rFonts w:ascii="Courier New" w:hAnsi="Courier New" w:cs="Courier New" w:hint="default"/>
        <w:sz w:val="22"/>
      </w:rPr>
    </w:lvl>
    <w:lvl w:ilvl="2">
      <w:start w:val="1"/>
      <w:numFmt w:val="bullet"/>
      <w:lvlText w:val=""/>
      <w:lvlJc w:val="left"/>
      <w:pPr>
        <w:ind w:left="3228" w:hanging="360"/>
      </w:pPr>
      <w:rPr>
        <w:rFonts w:ascii="Wingdings" w:hAnsi="Wingdings" w:cs="Wingdings" w:hint="default"/>
        <w:b/>
        <w:sz w:val="22"/>
      </w:rPr>
    </w:lvl>
    <w:lvl w:ilvl="3">
      <w:start w:val="1"/>
      <w:numFmt w:val="bullet"/>
      <w:lvlText w:val=""/>
      <w:lvlJc w:val="left"/>
      <w:pPr>
        <w:ind w:left="3948" w:hanging="360"/>
      </w:pPr>
      <w:rPr>
        <w:rFonts w:ascii="Symbol" w:hAnsi="Symbol" w:cs="Symbol" w:hint="default"/>
      </w:rPr>
    </w:lvl>
    <w:lvl w:ilvl="4">
      <w:start w:val="1"/>
      <w:numFmt w:val="bullet"/>
      <w:lvlText w:val="o"/>
      <w:lvlJc w:val="left"/>
      <w:pPr>
        <w:ind w:left="4668" w:hanging="360"/>
      </w:pPr>
      <w:rPr>
        <w:rFonts w:ascii="Courier New" w:hAnsi="Courier New" w:cs="Courier New" w:hint="default"/>
        <w:sz w:val="22"/>
      </w:rPr>
    </w:lvl>
    <w:lvl w:ilvl="5">
      <w:start w:val="1"/>
      <w:numFmt w:val="bullet"/>
      <w:lvlText w:val=""/>
      <w:lvlJc w:val="left"/>
      <w:pPr>
        <w:ind w:left="5388" w:hanging="360"/>
      </w:pPr>
      <w:rPr>
        <w:rFonts w:ascii="Wingdings" w:hAnsi="Wingdings" w:cs="Wingdings" w:hint="default"/>
        <w:b/>
        <w:sz w:val="22"/>
      </w:rPr>
    </w:lvl>
    <w:lvl w:ilvl="6">
      <w:start w:val="1"/>
      <w:numFmt w:val="bullet"/>
      <w:lvlText w:val=""/>
      <w:lvlJc w:val="left"/>
      <w:pPr>
        <w:ind w:left="6108" w:hanging="360"/>
      </w:pPr>
      <w:rPr>
        <w:rFonts w:ascii="Symbol" w:hAnsi="Symbol" w:cs="Symbol" w:hint="default"/>
      </w:rPr>
    </w:lvl>
    <w:lvl w:ilvl="7">
      <w:start w:val="1"/>
      <w:numFmt w:val="bullet"/>
      <w:lvlText w:val="o"/>
      <w:lvlJc w:val="left"/>
      <w:pPr>
        <w:ind w:left="6828" w:hanging="360"/>
      </w:pPr>
      <w:rPr>
        <w:rFonts w:ascii="Courier New" w:hAnsi="Courier New" w:cs="Courier New" w:hint="default"/>
        <w:sz w:val="22"/>
      </w:rPr>
    </w:lvl>
    <w:lvl w:ilvl="8">
      <w:start w:val="1"/>
      <w:numFmt w:val="bullet"/>
      <w:lvlText w:val=""/>
      <w:lvlJc w:val="left"/>
      <w:pPr>
        <w:ind w:left="7548" w:hanging="360"/>
      </w:pPr>
      <w:rPr>
        <w:rFonts w:ascii="Wingdings" w:hAnsi="Wingdings" w:cs="Wingdings" w:hint="default"/>
        <w:b/>
        <w:sz w:val="22"/>
      </w:rPr>
    </w:lvl>
  </w:abstractNum>
  <w:abstractNum w:abstractNumId="6">
    <w:nsid w:val="14524B7A"/>
    <w:multiLevelType w:val="multilevel"/>
    <w:tmpl w:val="A3B618F0"/>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b/>
        <w:sz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b/>
        <w:sz w:val="22"/>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b/>
        <w:sz w:val="22"/>
      </w:rPr>
    </w:lvl>
  </w:abstractNum>
  <w:abstractNum w:abstractNumId="7">
    <w:nsid w:val="1906269D"/>
    <w:multiLevelType w:val="multilevel"/>
    <w:tmpl w:val="0DF4A6C2"/>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8">
    <w:nsid w:val="208B3686"/>
    <w:multiLevelType w:val="multilevel"/>
    <w:tmpl w:val="E0666B9A"/>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9">
    <w:nsid w:val="29E734A4"/>
    <w:multiLevelType w:val="multilevel"/>
    <w:tmpl w:val="5A24A334"/>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0">
    <w:nsid w:val="2D4B4F40"/>
    <w:multiLevelType w:val="multilevel"/>
    <w:tmpl w:val="02860872"/>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1">
    <w:nsid w:val="2E011538"/>
    <w:multiLevelType w:val="multilevel"/>
    <w:tmpl w:val="8D0C7912"/>
    <w:lvl w:ilvl="0">
      <w:start w:val="1"/>
      <w:numFmt w:val="bullet"/>
      <w:lvlText w:val=""/>
      <w:lvlJc w:val="left"/>
      <w:pPr>
        <w:ind w:left="1495"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12">
    <w:nsid w:val="31007952"/>
    <w:multiLevelType w:val="multilevel"/>
    <w:tmpl w:val="36C2FD54"/>
    <w:lvl w:ilvl="0">
      <w:start w:val="1"/>
      <w:numFmt w:val="bullet"/>
      <w:lvlText w:val="o"/>
      <w:lvlJc w:val="left"/>
      <w:pPr>
        <w:ind w:left="1068" w:hanging="360"/>
      </w:pPr>
      <w:rPr>
        <w:rFonts w:ascii="Courier New" w:hAnsi="Courier New" w:cs="Courier New" w:hint="default"/>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3">
    <w:nsid w:val="332263D0"/>
    <w:multiLevelType w:val="multilevel"/>
    <w:tmpl w:val="02F6F65C"/>
    <w:lvl w:ilvl="0">
      <w:start w:val="1"/>
      <w:numFmt w:val="bullet"/>
      <w:lvlText w:val=""/>
      <w:lvlJc w:val="left"/>
      <w:pPr>
        <w:ind w:left="1428"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14">
    <w:nsid w:val="33626622"/>
    <w:multiLevelType w:val="multilevel"/>
    <w:tmpl w:val="F942DFFC"/>
    <w:lvl w:ilvl="0">
      <w:start w:val="1"/>
      <w:numFmt w:val="bullet"/>
      <w:lvlText w:val=""/>
      <w:lvlJc w:val="left"/>
      <w:pPr>
        <w:ind w:left="1776" w:hanging="360"/>
      </w:pPr>
      <w:rPr>
        <w:rFonts w:ascii="Wingdings" w:hAnsi="Wingdings" w:cs="Wingdings" w:hint="default"/>
        <w:b/>
        <w:sz w:val="22"/>
      </w:rPr>
    </w:lvl>
    <w:lvl w:ilvl="1">
      <w:start w:val="1"/>
      <w:numFmt w:val="bullet"/>
      <w:lvlText w:val="o"/>
      <w:lvlJc w:val="left"/>
      <w:pPr>
        <w:ind w:left="2496" w:hanging="360"/>
      </w:pPr>
      <w:rPr>
        <w:rFonts w:ascii="Courier New" w:hAnsi="Courier New" w:cs="Courier New" w:hint="default"/>
        <w:sz w:val="22"/>
      </w:rPr>
    </w:lvl>
    <w:lvl w:ilvl="2">
      <w:start w:val="1"/>
      <w:numFmt w:val="bullet"/>
      <w:lvlText w:val=""/>
      <w:lvlJc w:val="left"/>
      <w:pPr>
        <w:ind w:left="3216" w:hanging="360"/>
      </w:pPr>
      <w:rPr>
        <w:rFonts w:ascii="Wingdings" w:hAnsi="Wingdings" w:cs="Wingdings" w:hint="default"/>
        <w:b/>
        <w:sz w:val="22"/>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sz w:val="22"/>
      </w:rPr>
    </w:lvl>
    <w:lvl w:ilvl="5">
      <w:start w:val="1"/>
      <w:numFmt w:val="bullet"/>
      <w:lvlText w:val=""/>
      <w:lvlJc w:val="left"/>
      <w:pPr>
        <w:ind w:left="5376" w:hanging="360"/>
      </w:pPr>
      <w:rPr>
        <w:rFonts w:ascii="Wingdings" w:hAnsi="Wingdings" w:cs="Wingdings" w:hint="default"/>
        <w:b/>
        <w:sz w:val="22"/>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sz w:val="22"/>
      </w:rPr>
    </w:lvl>
    <w:lvl w:ilvl="8">
      <w:start w:val="1"/>
      <w:numFmt w:val="bullet"/>
      <w:lvlText w:val=""/>
      <w:lvlJc w:val="left"/>
      <w:pPr>
        <w:ind w:left="7536" w:hanging="360"/>
      </w:pPr>
      <w:rPr>
        <w:rFonts w:ascii="Wingdings" w:hAnsi="Wingdings" w:cs="Wingdings" w:hint="default"/>
        <w:b/>
        <w:sz w:val="22"/>
      </w:rPr>
    </w:lvl>
  </w:abstractNum>
  <w:abstractNum w:abstractNumId="15">
    <w:nsid w:val="3B2B1F79"/>
    <w:multiLevelType w:val="multilevel"/>
    <w:tmpl w:val="4FFE1B42"/>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6">
    <w:nsid w:val="3F1B38CD"/>
    <w:multiLevelType w:val="multilevel"/>
    <w:tmpl w:val="7DC8FDD6"/>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7">
    <w:nsid w:val="41550DDC"/>
    <w:multiLevelType w:val="multilevel"/>
    <w:tmpl w:val="BDC25800"/>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18">
    <w:nsid w:val="50702F76"/>
    <w:multiLevelType w:val="multilevel"/>
    <w:tmpl w:val="06125284"/>
    <w:lvl w:ilvl="0">
      <w:start w:val="1"/>
      <w:numFmt w:val="bullet"/>
      <w:lvlText w:val=""/>
      <w:lvlJc w:val="left"/>
      <w:pPr>
        <w:ind w:left="1428"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19">
    <w:nsid w:val="532903D3"/>
    <w:multiLevelType w:val="multilevel"/>
    <w:tmpl w:val="AF9227A2"/>
    <w:lvl w:ilvl="0">
      <w:start w:val="1"/>
      <w:numFmt w:val="bullet"/>
      <w:lvlText w:val="o"/>
      <w:lvlJc w:val="left"/>
      <w:pPr>
        <w:ind w:left="502" w:hanging="360"/>
      </w:pPr>
      <w:rPr>
        <w:rFonts w:ascii="Courier New" w:hAnsi="Courier New" w:cs="Courier New" w:hint="default"/>
        <w:sz w:val="22"/>
      </w:rPr>
    </w:lvl>
    <w:lvl w:ilvl="1">
      <w:start w:val="1"/>
      <w:numFmt w:val="bullet"/>
      <w:lvlText w:val="o"/>
      <w:lvlJc w:val="left"/>
      <w:pPr>
        <w:ind w:left="2160" w:hanging="360"/>
      </w:pPr>
      <w:rPr>
        <w:rFonts w:ascii="Courier New" w:hAnsi="Courier New" w:cs="Courier New" w:hint="default"/>
        <w:sz w:val="22"/>
      </w:rPr>
    </w:lvl>
    <w:lvl w:ilvl="2">
      <w:start w:val="1"/>
      <w:numFmt w:val="bullet"/>
      <w:lvlText w:val=""/>
      <w:lvlJc w:val="left"/>
      <w:pPr>
        <w:ind w:left="2880" w:hanging="360"/>
      </w:pPr>
      <w:rPr>
        <w:rFonts w:ascii="Wingdings" w:hAnsi="Wingdings" w:cs="Wingdings" w:hint="default"/>
        <w:b/>
        <w:sz w:val="22"/>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sz w:val="22"/>
      </w:rPr>
    </w:lvl>
    <w:lvl w:ilvl="5">
      <w:start w:val="1"/>
      <w:numFmt w:val="bullet"/>
      <w:lvlText w:val=""/>
      <w:lvlJc w:val="left"/>
      <w:pPr>
        <w:ind w:left="5040" w:hanging="360"/>
      </w:pPr>
      <w:rPr>
        <w:rFonts w:ascii="Wingdings" w:hAnsi="Wingdings" w:cs="Wingdings" w:hint="default"/>
        <w:b/>
        <w:sz w:val="22"/>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sz w:val="22"/>
      </w:rPr>
    </w:lvl>
    <w:lvl w:ilvl="8">
      <w:start w:val="1"/>
      <w:numFmt w:val="bullet"/>
      <w:lvlText w:val=""/>
      <w:lvlJc w:val="left"/>
      <w:pPr>
        <w:ind w:left="7200" w:hanging="360"/>
      </w:pPr>
      <w:rPr>
        <w:rFonts w:ascii="Wingdings" w:hAnsi="Wingdings" w:cs="Wingdings" w:hint="default"/>
        <w:b/>
        <w:sz w:val="22"/>
      </w:rPr>
    </w:lvl>
  </w:abstractNum>
  <w:abstractNum w:abstractNumId="20">
    <w:nsid w:val="599B4AF0"/>
    <w:multiLevelType w:val="multilevel"/>
    <w:tmpl w:val="37F08076"/>
    <w:lvl w:ilvl="0">
      <w:start w:val="1"/>
      <w:numFmt w:val="bullet"/>
      <w:lvlText w:val=""/>
      <w:lvlJc w:val="left"/>
      <w:pPr>
        <w:ind w:left="502" w:hanging="360"/>
      </w:pPr>
      <w:rPr>
        <w:rFonts w:ascii="Wingdings" w:hAnsi="Wingdings" w:cs="Wingdings" w:hint="default"/>
        <w:b/>
        <w:sz w:val="22"/>
      </w:rPr>
    </w:lvl>
    <w:lvl w:ilvl="1">
      <w:start w:val="1"/>
      <w:numFmt w:val="bullet"/>
      <w:lvlText w:val="o"/>
      <w:lvlJc w:val="left"/>
      <w:pPr>
        <w:ind w:left="2160" w:hanging="360"/>
      </w:pPr>
      <w:rPr>
        <w:rFonts w:ascii="Courier New" w:hAnsi="Courier New" w:cs="Courier New" w:hint="default"/>
        <w:sz w:val="22"/>
      </w:rPr>
    </w:lvl>
    <w:lvl w:ilvl="2">
      <w:start w:val="1"/>
      <w:numFmt w:val="bullet"/>
      <w:lvlText w:val=""/>
      <w:lvlJc w:val="left"/>
      <w:pPr>
        <w:ind w:left="2880" w:hanging="360"/>
      </w:pPr>
      <w:rPr>
        <w:rFonts w:ascii="Wingdings" w:hAnsi="Wingdings" w:cs="Wingdings" w:hint="default"/>
        <w:b/>
        <w:sz w:val="22"/>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sz w:val="22"/>
      </w:rPr>
    </w:lvl>
    <w:lvl w:ilvl="5">
      <w:start w:val="1"/>
      <w:numFmt w:val="bullet"/>
      <w:lvlText w:val=""/>
      <w:lvlJc w:val="left"/>
      <w:pPr>
        <w:ind w:left="5040" w:hanging="360"/>
      </w:pPr>
      <w:rPr>
        <w:rFonts w:ascii="Wingdings" w:hAnsi="Wingdings" w:cs="Wingdings" w:hint="default"/>
        <w:b/>
        <w:sz w:val="22"/>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sz w:val="22"/>
      </w:rPr>
    </w:lvl>
    <w:lvl w:ilvl="8">
      <w:start w:val="1"/>
      <w:numFmt w:val="bullet"/>
      <w:lvlText w:val=""/>
      <w:lvlJc w:val="left"/>
      <w:pPr>
        <w:ind w:left="7200" w:hanging="360"/>
      </w:pPr>
      <w:rPr>
        <w:rFonts w:ascii="Wingdings" w:hAnsi="Wingdings" w:cs="Wingdings" w:hint="default"/>
        <w:b/>
        <w:sz w:val="22"/>
      </w:rPr>
    </w:lvl>
  </w:abstractNum>
  <w:abstractNum w:abstractNumId="21">
    <w:nsid w:val="59ED1345"/>
    <w:multiLevelType w:val="multilevel"/>
    <w:tmpl w:val="E2E862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5C487470"/>
    <w:multiLevelType w:val="multilevel"/>
    <w:tmpl w:val="9D38FD62"/>
    <w:lvl w:ilvl="0">
      <w:start w:val="1"/>
      <w:numFmt w:val="bullet"/>
      <w:lvlText w:val=""/>
      <w:lvlJc w:val="left"/>
      <w:pPr>
        <w:ind w:left="1428" w:hanging="360"/>
      </w:pPr>
      <w:rPr>
        <w:rFonts w:ascii="Wingdings" w:hAnsi="Wingdings" w:cs="Wingdings" w:hint="default"/>
        <w:b/>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23">
    <w:nsid w:val="5CEE6CFD"/>
    <w:multiLevelType w:val="multilevel"/>
    <w:tmpl w:val="0D6A0C4C"/>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24">
    <w:nsid w:val="5D6C332D"/>
    <w:multiLevelType w:val="multilevel"/>
    <w:tmpl w:val="1DC69AA2"/>
    <w:lvl w:ilvl="0">
      <w:start w:val="1"/>
      <w:numFmt w:val="bullet"/>
      <w:lvlText w:val="o"/>
      <w:lvlJc w:val="left"/>
      <w:pPr>
        <w:ind w:left="502" w:hanging="360"/>
      </w:pPr>
      <w:rPr>
        <w:rFonts w:ascii="Courier New" w:hAnsi="Courier New" w:cs="Courier New" w:hint="default"/>
        <w:sz w:val="22"/>
      </w:rPr>
    </w:lvl>
    <w:lvl w:ilvl="1">
      <w:start w:val="1"/>
      <w:numFmt w:val="bullet"/>
      <w:lvlText w:val="o"/>
      <w:lvlJc w:val="left"/>
      <w:pPr>
        <w:ind w:left="2160" w:hanging="360"/>
      </w:pPr>
      <w:rPr>
        <w:rFonts w:ascii="Courier New" w:hAnsi="Courier New" w:cs="Courier New" w:hint="default"/>
        <w:sz w:val="22"/>
      </w:rPr>
    </w:lvl>
    <w:lvl w:ilvl="2">
      <w:start w:val="1"/>
      <w:numFmt w:val="bullet"/>
      <w:lvlText w:val=""/>
      <w:lvlJc w:val="left"/>
      <w:pPr>
        <w:ind w:left="2880" w:hanging="360"/>
      </w:pPr>
      <w:rPr>
        <w:rFonts w:ascii="Wingdings" w:hAnsi="Wingdings" w:cs="Wingdings" w:hint="default"/>
        <w:b/>
        <w:sz w:val="22"/>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sz w:val="22"/>
      </w:rPr>
    </w:lvl>
    <w:lvl w:ilvl="5">
      <w:start w:val="1"/>
      <w:numFmt w:val="bullet"/>
      <w:lvlText w:val=""/>
      <w:lvlJc w:val="left"/>
      <w:pPr>
        <w:ind w:left="5040" w:hanging="360"/>
      </w:pPr>
      <w:rPr>
        <w:rFonts w:ascii="Wingdings" w:hAnsi="Wingdings" w:cs="Wingdings" w:hint="default"/>
        <w:b/>
        <w:sz w:val="22"/>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sz w:val="22"/>
      </w:rPr>
    </w:lvl>
    <w:lvl w:ilvl="8">
      <w:start w:val="1"/>
      <w:numFmt w:val="bullet"/>
      <w:lvlText w:val=""/>
      <w:lvlJc w:val="left"/>
      <w:pPr>
        <w:ind w:left="7200" w:hanging="360"/>
      </w:pPr>
      <w:rPr>
        <w:rFonts w:ascii="Wingdings" w:hAnsi="Wingdings" w:cs="Wingdings" w:hint="default"/>
        <w:b/>
        <w:sz w:val="22"/>
      </w:rPr>
    </w:lvl>
  </w:abstractNum>
  <w:abstractNum w:abstractNumId="25">
    <w:nsid w:val="5EAE0323"/>
    <w:multiLevelType w:val="multilevel"/>
    <w:tmpl w:val="0814215A"/>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26">
    <w:nsid w:val="5FE17412"/>
    <w:multiLevelType w:val="multilevel"/>
    <w:tmpl w:val="61323D02"/>
    <w:lvl w:ilvl="0">
      <w:start w:val="1"/>
      <w:numFmt w:val="bullet"/>
      <w:lvlText w:val="o"/>
      <w:lvlJc w:val="left"/>
      <w:pPr>
        <w:ind w:left="1428" w:hanging="360"/>
      </w:pPr>
      <w:rPr>
        <w:rFonts w:ascii="Courier New" w:hAnsi="Courier New" w:cs="Courier New" w:hint="default"/>
        <w:sz w:val="22"/>
      </w:rPr>
    </w:lvl>
    <w:lvl w:ilvl="1">
      <w:start w:val="1"/>
      <w:numFmt w:val="bullet"/>
      <w:lvlText w:val="o"/>
      <w:lvlJc w:val="left"/>
      <w:pPr>
        <w:ind w:left="2148" w:hanging="360"/>
      </w:pPr>
      <w:rPr>
        <w:rFonts w:ascii="Courier New" w:hAnsi="Courier New" w:cs="Courier New" w:hint="default"/>
        <w:sz w:val="22"/>
      </w:rPr>
    </w:lvl>
    <w:lvl w:ilvl="2">
      <w:start w:val="1"/>
      <w:numFmt w:val="bullet"/>
      <w:lvlText w:val=""/>
      <w:lvlJc w:val="left"/>
      <w:pPr>
        <w:ind w:left="2868" w:hanging="360"/>
      </w:pPr>
      <w:rPr>
        <w:rFonts w:ascii="Wingdings" w:hAnsi="Wingdings" w:cs="Wingdings" w:hint="default"/>
        <w:b/>
        <w:sz w:val="22"/>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sz w:val="22"/>
      </w:rPr>
    </w:lvl>
    <w:lvl w:ilvl="5">
      <w:start w:val="1"/>
      <w:numFmt w:val="bullet"/>
      <w:lvlText w:val=""/>
      <w:lvlJc w:val="left"/>
      <w:pPr>
        <w:ind w:left="5028" w:hanging="360"/>
      </w:pPr>
      <w:rPr>
        <w:rFonts w:ascii="Wingdings" w:hAnsi="Wingdings" w:cs="Wingdings" w:hint="default"/>
        <w:b/>
        <w:sz w:val="22"/>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sz w:val="22"/>
      </w:rPr>
    </w:lvl>
    <w:lvl w:ilvl="8">
      <w:start w:val="1"/>
      <w:numFmt w:val="bullet"/>
      <w:lvlText w:val=""/>
      <w:lvlJc w:val="left"/>
      <w:pPr>
        <w:ind w:left="7188" w:hanging="360"/>
      </w:pPr>
      <w:rPr>
        <w:rFonts w:ascii="Wingdings" w:hAnsi="Wingdings" w:cs="Wingdings" w:hint="default"/>
        <w:b/>
        <w:sz w:val="22"/>
      </w:rPr>
    </w:lvl>
  </w:abstractNum>
  <w:abstractNum w:abstractNumId="27">
    <w:nsid w:val="64D621E5"/>
    <w:multiLevelType w:val="multilevel"/>
    <w:tmpl w:val="FA32F554"/>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28">
    <w:nsid w:val="691D44B6"/>
    <w:multiLevelType w:val="multilevel"/>
    <w:tmpl w:val="660C445C"/>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29">
    <w:nsid w:val="6D174F76"/>
    <w:multiLevelType w:val="multilevel"/>
    <w:tmpl w:val="53BA6D04"/>
    <w:lvl w:ilvl="0">
      <w:start w:val="1"/>
      <w:numFmt w:val="bullet"/>
      <w:lvlText w:val=""/>
      <w:lvlJc w:val="left"/>
      <w:pPr>
        <w:ind w:left="1440" w:hanging="360"/>
      </w:pPr>
      <w:rPr>
        <w:rFonts w:ascii="Wingdings" w:hAnsi="Wingdings" w:cs="Wingdings" w:hint="default"/>
        <w:b/>
        <w:sz w:val="22"/>
      </w:rPr>
    </w:lvl>
    <w:lvl w:ilvl="1">
      <w:start w:val="1"/>
      <w:numFmt w:val="bullet"/>
      <w:lvlText w:val="o"/>
      <w:lvlJc w:val="left"/>
      <w:pPr>
        <w:ind w:left="2160" w:hanging="360"/>
      </w:pPr>
      <w:rPr>
        <w:rFonts w:ascii="Courier New" w:hAnsi="Courier New" w:cs="Courier New" w:hint="default"/>
        <w:sz w:val="22"/>
      </w:rPr>
    </w:lvl>
    <w:lvl w:ilvl="2">
      <w:start w:val="1"/>
      <w:numFmt w:val="bullet"/>
      <w:lvlText w:val=""/>
      <w:lvlJc w:val="left"/>
      <w:pPr>
        <w:ind w:left="2880" w:hanging="360"/>
      </w:pPr>
      <w:rPr>
        <w:rFonts w:ascii="Wingdings" w:hAnsi="Wingdings" w:cs="Wingdings" w:hint="default"/>
        <w:b/>
        <w:sz w:val="22"/>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sz w:val="22"/>
      </w:rPr>
    </w:lvl>
    <w:lvl w:ilvl="5">
      <w:start w:val="1"/>
      <w:numFmt w:val="bullet"/>
      <w:lvlText w:val=""/>
      <w:lvlJc w:val="left"/>
      <w:pPr>
        <w:ind w:left="5040" w:hanging="360"/>
      </w:pPr>
      <w:rPr>
        <w:rFonts w:ascii="Wingdings" w:hAnsi="Wingdings" w:cs="Wingdings" w:hint="default"/>
        <w:b/>
        <w:sz w:val="22"/>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sz w:val="22"/>
      </w:rPr>
    </w:lvl>
    <w:lvl w:ilvl="8">
      <w:start w:val="1"/>
      <w:numFmt w:val="bullet"/>
      <w:lvlText w:val=""/>
      <w:lvlJc w:val="left"/>
      <w:pPr>
        <w:ind w:left="7200" w:hanging="360"/>
      </w:pPr>
      <w:rPr>
        <w:rFonts w:ascii="Wingdings" w:hAnsi="Wingdings" w:cs="Wingdings" w:hint="default"/>
        <w:b/>
        <w:sz w:val="22"/>
      </w:rPr>
    </w:lvl>
  </w:abstractNum>
  <w:abstractNum w:abstractNumId="30">
    <w:nsid w:val="6D650225"/>
    <w:multiLevelType w:val="multilevel"/>
    <w:tmpl w:val="EECA684C"/>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sz w:val="22"/>
      </w:rPr>
    </w:lvl>
    <w:lvl w:ilvl="2">
      <w:start w:val="1"/>
      <w:numFmt w:val="bullet"/>
      <w:lvlText w:val=""/>
      <w:lvlJc w:val="left"/>
      <w:pPr>
        <w:ind w:left="2508" w:hanging="360"/>
      </w:pPr>
      <w:rPr>
        <w:rFonts w:ascii="Wingdings" w:hAnsi="Wingdings" w:cs="Wingdings" w:hint="default"/>
        <w:b/>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31">
    <w:nsid w:val="6E6722E3"/>
    <w:multiLevelType w:val="multilevel"/>
    <w:tmpl w:val="765E7A98"/>
    <w:lvl w:ilvl="0">
      <w:start w:val="1"/>
      <w:numFmt w:val="bullet"/>
      <w:lvlText w:val=""/>
      <w:lvlJc w:val="left"/>
      <w:pPr>
        <w:ind w:left="1068" w:hanging="360"/>
      </w:pPr>
      <w:rPr>
        <w:rFonts w:ascii="Wingdings" w:hAnsi="Wingdings" w:cs="Wingdings" w:hint="default"/>
        <w:b/>
        <w:sz w:val="22"/>
      </w:rPr>
    </w:lvl>
    <w:lvl w:ilvl="1">
      <w:start w:val="1"/>
      <w:numFmt w:val="bullet"/>
      <w:lvlText w:val="o"/>
      <w:lvlJc w:val="left"/>
      <w:pPr>
        <w:ind w:left="1788" w:hanging="360"/>
      </w:pPr>
      <w:rPr>
        <w:rFonts w:ascii="Courier New" w:hAnsi="Courier New" w:cs="Courier New" w:hint="default"/>
        <w:color w:val="0070C0"/>
        <w:sz w:val="22"/>
      </w:rPr>
    </w:lvl>
    <w:lvl w:ilvl="2">
      <w:start w:val="1"/>
      <w:numFmt w:val="bullet"/>
      <w:lvlText w:val="o"/>
      <w:lvlJc w:val="left"/>
      <w:pPr>
        <w:ind w:left="2508" w:hanging="360"/>
      </w:pPr>
      <w:rPr>
        <w:rFonts w:ascii="Courier New" w:hAnsi="Courier New" w:cs="Courier New" w:hint="default"/>
        <w:sz w:val="22"/>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sz w:val="22"/>
      </w:rPr>
    </w:lvl>
    <w:lvl w:ilvl="5">
      <w:start w:val="1"/>
      <w:numFmt w:val="bullet"/>
      <w:lvlText w:val=""/>
      <w:lvlJc w:val="left"/>
      <w:pPr>
        <w:ind w:left="4668" w:hanging="360"/>
      </w:pPr>
      <w:rPr>
        <w:rFonts w:ascii="Wingdings" w:hAnsi="Wingdings" w:cs="Wingdings" w:hint="default"/>
        <w:b/>
        <w:sz w:val="22"/>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sz w:val="22"/>
      </w:rPr>
    </w:lvl>
    <w:lvl w:ilvl="8">
      <w:start w:val="1"/>
      <w:numFmt w:val="bullet"/>
      <w:lvlText w:val=""/>
      <w:lvlJc w:val="left"/>
      <w:pPr>
        <w:ind w:left="6828" w:hanging="360"/>
      </w:pPr>
      <w:rPr>
        <w:rFonts w:ascii="Wingdings" w:hAnsi="Wingdings" w:cs="Wingdings" w:hint="default"/>
        <w:b/>
        <w:sz w:val="22"/>
      </w:rPr>
    </w:lvl>
  </w:abstractNum>
  <w:abstractNum w:abstractNumId="32">
    <w:nsid w:val="76B3005E"/>
    <w:multiLevelType w:val="multilevel"/>
    <w:tmpl w:val="7DC0CA74"/>
    <w:lvl w:ilvl="0">
      <w:start w:val="1"/>
      <w:numFmt w:val="bullet"/>
      <w:lvlText w:val=""/>
      <w:lvlJc w:val="left"/>
      <w:pPr>
        <w:ind w:left="1080" w:hanging="360"/>
      </w:pPr>
      <w:rPr>
        <w:rFonts w:ascii="Wingdings" w:hAnsi="Wingdings" w:cs="Wingdings" w:hint="default"/>
        <w:b/>
        <w:sz w:val="22"/>
      </w:rPr>
    </w:lvl>
    <w:lvl w:ilvl="1">
      <w:start w:val="1"/>
      <w:numFmt w:val="bullet"/>
      <w:lvlText w:val="o"/>
      <w:lvlJc w:val="left"/>
      <w:pPr>
        <w:ind w:left="1800" w:hanging="360"/>
      </w:pPr>
      <w:rPr>
        <w:rFonts w:ascii="Courier New" w:hAnsi="Courier New" w:cs="Courier New" w:hint="default"/>
        <w:sz w:val="22"/>
      </w:rPr>
    </w:lvl>
    <w:lvl w:ilvl="2">
      <w:start w:val="1"/>
      <w:numFmt w:val="bullet"/>
      <w:lvlText w:val=""/>
      <w:lvlJc w:val="left"/>
      <w:pPr>
        <w:ind w:left="2520" w:hanging="360"/>
      </w:pPr>
      <w:rPr>
        <w:rFonts w:ascii="Wingdings" w:hAnsi="Wingdings" w:cs="Wingdings" w:hint="default"/>
        <w:b/>
        <w:sz w:val="22"/>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sz w:val="22"/>
      </w:rPr>
    </w:lvl>
    <w:lvl w:ilvl="5">
      <w:start w:val="1"/>
      <w:numFmt w:val="bullet"/>
      <w:lvlText w:val=""/>
      <w:lvlJc w:val="left"/>
      <w:pPr>
        <w:ind w:left="4680" w:hanging="360"/>
      </w:pPr>
      <w:rPr>
        <w:rFonts w:ascii="Wingdings" w:hAnsi="Wingdings" w:cs="Wingdings" w:hint="default"/>
        <w:b/>
        <w:sz w:val="22"/>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sz w:val="22"/>
      </w:rPr>
    </w:lvl>
    <w:lvl w:ilvl="8">
      <w:start w:val="1"/>
      <w:numFmt w:val="bullet"/>
      <w:lvlText w:val=""/>
      <w:lvlJc w:val="left"/>
      <w:pPr>
        <w:ind w:left="6840" w:hanging="360"/>
      </w:pPr>
      <w:rPr>
        <w:rFonts w:ascii="Wingdings" w:hAnsi="Wingdings" w:cs="Wingdings" w:hint="default"/>
        <w:b/>
        <w:sz w:val="22"/>
      </w:rPr>
    </w:lvl>
  </w:abstractNum>
  <w:num w:numId="1">
    <w:abstractNumId w:val="29"/>
  </w:num>
  <w:num w:numId="2">
    <w:abstractNumId w:val="20"/>
  </w:num>
  <w:num w:numId="3">
    <w:abstractNumId w:val="18"/>
  </w:num>
  <w:num w:numId="4">
    <w:abstractNumId w:val="1"/>
  </w:num>
  <w:num w:numId="5">
    <w:abstractNumId w:val="11"/>
  </w:num>
  <w:num w:numId="6">
    <w:abstractNumId w:val="3"/>
  </w:num>
  <w:num w:numId="7">
    <w:abstractNumId w:val="0"/>
  </w:num>
  <w:num w:numId="8">
    <w:abstractNumId w:val="6"/>
  </w:num>
  <w:num w:numId="9">
    <w:abstractNumId w:val="7"/>
  </w:num>
  <w:num w:numId="10">
    <w:abstractNumId w:val="28"/>
  </w:num>
  <w:num w:numId="11">
    <w:abstractNumId w:val="31"/>
  </w:num>
  <w:num w:numId="12">
    <w:abstractNumId w:val="30"/>
  </w:num>
  <w:num w:numId="13">
    <w:abstractNumId w:val="17"/>
  </w:num>
  <w:num w:numId="14">
    <w:abstractNumId w:val="9"/>
  </w:num>
  <w:num w:numId="15">
    <w:abstractNumId w:val="16"/>
  </w:num>
  <w:num w:numId="16">
    <w:abstractNumId w:val="25"/>
  </w:num>
  <w:num w:numId="17">
    <w:abstractNumId w:val="27"/>
  </w:num>
  <w:num w:numId="18">
    <w:abstractNumId w:val="8"/>
  </w:num>
  <w:num w:numId="19">
    <w:abstractNumId w:val="10"/>
  </w:num>
  <w:num w:numId="20">
    <w:abstractNumId w:val="12"/>
  </w:num>
  <w:num w:numId="21">
    <w:abstractNumId w:val="5"/>
  </w:num>
  <w:num w:numId="22">
    <w:abstractNumId w:val="24"/>
  </w:num>
  <w:num w:numId="23">
    <w:abstractNumId w:val="19"/>
  </w:num>
  <w:num w:numId="24">
    <w:abstractNumId w:val="26"/>
  </w:num>
  <w:num w:numId="25">
    <w:abstractNumId w:val="32"/>
  </w:num>
  <w:num w:numId="26">
    <w:abstractNumId w:val="15"/>
  </w:num>
  <w:num w:numId="27">
    <w:abstractNumId w:val="2"/>
  </w:num>
  <w:num w:numId="28">
    <w:abstractNumId w:val="23"/>
  </w:num>
  <w:num w:numId="29">
    <w:abstractNumId w:val="4"/>
  </w:num>
  <w:num w:numId="30">
    <w:abstractNumId w:val="22"/>
  </w:num>
  <w:num w:numId="31">
    <w:abstractNumId w:val="14"/>
  </w:num>
  <w:num w:numId="32">
    <w:abstractNumId w:val="13"/>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F87902"/>
    <w:rsid w:val="00014A86"/>
    <w:rsid w:val="000855CC"/>
    <w:rsid w:val="001269D7"/>
    <w:rsid w:val="003668A3"/>
    <w:rsid w:val="003C4130"/>
    <w:rsid w:val="00417B5C"/>
    <w:rsid w:val="0049486E"/>
    <w:rsid w:val="004A6EB0"/>
    <w:rsid w:val="004C19E6"/>
    <w:rsid w:val="004D3616"/>
    <w:rsid w:val="005715C5"/>
    <w:rsid w:val="00654970"/>
    <w:rsid w:val="006D52EA"/>
    <w:rsid w:val="007D7680"/>
    <w:rsid w:val="007F19A9"/>
    <w:rsid w:val="00807A4E"/>
    <w:rsid w:val="008876D2"/>
    <w:rsid w:val="008C7327"/>
    <w:rsid w:val="009008F8"/>
    <w:rsid w:val="00992B8F"/>
    <w:rsid w:val="009A6DCD"/>
    <w:rsid w:val="009B69F5"/>
    <w:rsid w:val="00A45CC2"/>
    <w:rsid w:val="00A519F9"/>
    <w:rsid w:val="00AB215D"/>
    <w:rsid w:val="00AC6D00"/>
    <w:rsid w:val="00BA0145"/>
    <w:rsid w:val="00C41CC7"/>
    <w:rsid w:val="00C431EA"/>
    <w:rsid w:val="00C446C0"/>
    <w:rsid w:val="00C575C9"/>
    <w:rsid w:val="00D842A1"/>
    <w:rsid w:val="00D95CB7"/>
    <w:rsid w:val="00E36019"/>
    <w:rsid w:val="00E44361"/>
    <w:rsid w:val="00F54C31"/>
    <w:rsid w:val="00F87902"/>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5A6F"/>
    <w:rPr>
      <w:color w:val="00000A"/>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qFormat/>
    <w:rsid w:val="00C50344"/>
    <w:pPr>
      <w:keepNext/>
      <w:jc w:val="center"/>
      <w:outlineLvl w:val="0"/>
    </w:pPr>
    <w:rPr>
      <w:rFonts w:eastAsia="MS Mincho"/>
      <w:b/>
      <w:sz w:val="28"/>
      <w:szCs w:val="20"/>
    </w:rPr>
  </w:style>
  <w:style w:type="paragraph" w:customStyle="1" w:styleId="Encabezado2">
    <w:name w:val="Encabezado 2"/>
    <w:basedOn w:val="Normal"/>
    <w:next w:val="Normal"/>
    <w:qFormat/>
    <w:rsid w:val="00C20AB9"/>
    <w:pPr>
      <w:keepNext/>
      <w:jc w:val="both"/>
      <w:outlineLvl w:val="1"/>
    </w:pPr>
    <w:rPr>
      <w:rFonts w:eastAsia="MS Mincho"/>
      <w:color w:val="FF0000"/>
      <w:szCs w:val="20"/>
    </w:rPr>
  </w:style>
  <w:style w:type="paragraph" w:customStyle="1" w:styleId="Encabezado3">
    <w:name w:val="Encabezado 3"/>
    <w:basedOn w:val="Normal"/>
    <w:next w:val="Normal"/>
    <w:qFormat/>
    <w:rsid w:val="00C20AB9"/>
    <w:pPr>
      <w:keepNext/>
      <w:jc w:val="both"/>
      <w:outlineLvl w:val="2"/>
    </w:pPr>
    <w:rPr>
      <w:rFonts w:eastAsia="MS Mincho"/>
      <w:color w:val="FF0000"/>
      <w:szCs w:val="20"/>
    </w:rPr>
  </w:style>
  <w:style w:type="paragraph" w:customStyle="1" w:styleId="Encabezado4">
    <w:name w:val="Encabezado 4"/>
    <w:basedOn w:val="Normal"/>
    <w:next w:val="Normal"/>
    <w:qFormat/>
    <w:rsid w:val="00C20AB9"/>
    <w:pPr>
      <w:keepNext/>
      <w:spacing w:before="240" w:after="60"/>
      <w:outlineLvl w:val="3"/>
    </w:pPr>
    <w:rPr>
      <w:b/>
      <w:bCs/>
      <w:sz w:val="28"/>
      <w:szCs w:val="28"/>
    </w:rPr>
  </w:style>
  <w:style w:type="paragraph" w:customStyle="1" w:styleId="Encabezado5">
    <w:name w:val="Encabezado 5"/>
    <w:basedOn w:val="Normal"/>
    <w:next w:val="Normal"/>
    <w:qFormat/>
    <w:rsid w:val="00C20AB9"/>
    <w:pPr>
      <w:spacing w:before="240" w:after="60"/>
      <w:outlineLvl w:val="4"/>
    </w:pPr>
    <w:rPr>
      <w:b/>
      <w:bCs/>
      <w:i/>
      <w:iCs/>
      <w:sz w:val="26"/>
      <w:szCs w:val="26"/>
    </w:rPr>
  </w:style>
  <w:style w:type="paragraph" w:customStyle="1" w:styleId="Encabezado6">
    <w:name w:val="Encabezado 6"/>
    <w:basedOn w:val="Normal"/>
    <w:next w:val="Normal"/>
    <w:qFormat/>
    <w:rsid w:val="00C20AB9"/>
    <w:pPr>
      <w:keepNext/>
      <w:jc w:val="both"/>
      <w:outlineLvl w:val="5"/>
    </w:pPr>
    <w:rPr>
      <w:rFonts w:eastAsia="MS Mincho"/>
      <w:szCs w:val="20"/>
    </w:rPr>
  </w:style>
  <w:style w:type="paragraph" w:customStyle="1" w:styleId="Encabezado7">
    <w:name w:val="Encabezado 7"/>
    <w:basedOn w:val="Normal"/>
    <w:next w:val="Normal"/>
    <w:qFormat/>
    <w:rsid w:val="00C20AB9"/>
    <w:pPr>
      <w:spacing w:before="240" w:after="60"/>
      <w:outlineLvl w:val="6"/>
    </w:pPr>
  </w:style>
  <w:style w:type="paragraph" w:customStyle="1" w:styleId="Encabezado8">
    <w:name w:val="Encabezado 8"/>
    <w:basedOn w:val="Normal"/>
    <w:next w:val="Normal"/>
    <w:qFormat/>
    <w:rsid w:val="00C20AB9"/>
    <w:pPr>
      <w:spacing w:before="240" w:after="60"/>
      <w:jc w:val="both"/>
      <w:outlineLvl w:val="7"/>
    </w:pPr>
    <w:rPr>
      <w:rFonts w:eastAsia="MS Mincho"/>
      <w:i/>
      <w:iCs/>
    </w:rPr>
  </w:style>
  <w:style w:type="character" w:customStyle="1" w:styleId="EnlacedeInternet">
    <w:name w:val="Enlace de Internet"/>
    <w:uiPriority w:val="99"/>
    <w:rsid w:val="00C20AB9"/>
    <w:rPr>
      <w:color w:val="0000FF"/>
      <w:u w:val="single"/>
    </w:rPr>
  </w:style>
  <w:style w:type="character" w:styleId="Hipervnculovisitado">
    <w:name w:val="FollowedHyperlink"/>
    <w:qFormat/>
    <w:rsid w:val="00C20AB9"/>
    <w:rPr>
      <w:color w:val="800080"/>
      <w:u w:val="single"/>
    </w:rPr>
  </w:style>
  <w:style w:type="character" w:styleId="Refdenotaalpie">
    <w:name w:val="footnote reference"/>
    <w:semiHidden/>
    <w:qFormat/>
    <w:rsid w:val="00C20AB9"/>
    <w:rPr>
      <w:vertAlign w:val="superscript"/>
    </w:rPr>
  </w:style>
  <w:style w:type="character" w:styleId="Nmerodepgina">
    <w:name w:val="page number"/>
    <w:basedOn w:val="Fuentedeprrafopredeter"/>
    <w:qFormat/>
    <w:rsid w:val="00C20AB9"/>
  </w:style>
  <w:style w:type="character" w:customStyle="1" w:styleId="Destacado">
    <w:name w:val="Destacado"/>
    <w:qFormat/>
    <w:rsid w:val="00C20AB9"/>
    <w:rPr>
      <w:i/>
      <w:iCs/>
    </w:rPr>
  </w:style>
  <w:style w:type="character" w:customStyle="1" w:styleId="TtuloCar">
    <w:name w:val="Título Car"/>
    <w:link w:val="Ttulo"/>
    <w:qFormat/>
    <w:rsid w:val="00C20AB9"/>
    <w:rPr>
      <w:rFonts w:ascii="Arial" w:hAnsi="Arial"/>
      <w:b/>
      <w:sz w:val="28"/>
      <w:szCs w:val="24"/>
      <w:lang w:val="en-US" w:eastAsia="es-ES" w:bidi="ar-SA"/>
    </w:rPr>
  </w:style>
  <w:style w:type="character" w:styleId="Refdecomentario">
    <w:name w:val="annotation reference"/>
    <w:uiPriority w:val="99"/>
    <w:semiHidden/>
    <w:qFormat/>
    <w:rsid w:val="009214BB"/>
    <w:rPr>
      <w:sz w:val="16"/>
      <w:szCs w:val="16"/>
    </w:rPr>
  </w:style>
  <w:style w:type="character" w:customStyle="1" w:styleId="TextosinformatoCar">
    <w:name w:val="Texto sin formato Car"/>
    <w:link w:val="Textosinformato"/>
    <w:uiPriority w:val="99"/>
    <w:qFormat/>
    <w:rsid w:val="00F8029C"/>
    <w:rPr>
      <w:rFonts w:ascii="Courier New" w:eastAsia="MS Mincho" w:hAnsi="Courier New"/>
      <w:sz w:val="24"/>
      <w:lang w:val="es-ES" w:eastAsia="es-ES"/>
    </w:rPr>
  </w:style>
  <w:style w:type="character" w:styleId="Textoennegrita">
    <w:name w:val="Strong"/>
    <w:uiPriority w:val="99"/>
    <w:qFormat/>
    <w:rsid w:val="00236BC4"/>
    <w:rPr>
      <w:rFonts w:cs="Times New Roman"/>
      <w:b/>
      <w:bCs/>
    </w:rPr>
  </w:style>
  <w:style w:type="character" w:customStyle="1" w:styleId="PiedepginaCar">
    <w:name w:val="Pie de página Car"/>
    <w:link w:val="Piedepgina"/>
    <w:uiPriority w:val="99"/>
    <w:qFormat/>
    <w:rsid w:val="0032637D"/>
    <w:rPr>
      <w:rFonts w:eastAsia="MS Mincho"/>
      <w:sz w:val="24"/>
      <w:lang w:val="es-ES" w:eastAsia="es-ES"/>
    </w:rPr>
  </w:style>
  <w:style w:type="character" w:customStyle="1" w:styleId="ft">
    <w:name w:val="ft"/>
    <w:basedOn w:val="Fuentedeprrafopredeter"/>
    <w:qFormat/>
    <w:rsid w:val="00887D5E"/>
  </w:style>
  <w:style w:type="character" w:customStyle="1" w:styleId="st">
    <w:name w:val="st"/>
    <w:qFormat/>
    <w:rsid w:val="007256E5"/>
  </w:style>
  <w:style w:type="character" w:customStyle="1" w:styleId="st1">
    <w:name w:val="st1"/>
    <w:basedOn w:val="Fuentedeprrafopredeter"/>
    <w:qFormat/>
    <w:rsid w:val="0009576F"/>
  </w:style>
  <w:style w:type="character" w:customStyle="1" w:styleId="il">
    <w:name w:val="il"/>
    <w:qFormat/>
    <w:rsid w:val="00B615F2"/>
  </w:style>
  <w:style w:type="character" w:customStyle="1" w:styleId="TextocomentarioCar">
    <w:name w:val="Texto comentario Car"/>
    <w:basedOn w:val="Fuentedeprrafopredeter"/>
    <w:link w:val="Textocomentario"/>
    <w:uiPriority w:val="99"/>
    <w:qFormat/>
    <w:rsid w:val="00D809B3"/>
    <w:rPr>
      <w:lang w:val="es-ES" w:eastAsia="es-ES"/>
    </w:rPr>
  </w:style>
  <w:style w:type="character" w:customStyle="1" w:styleId="ams">
    <w:name w:val="ams"/>
    <w:basedOn w:val="Fuentedeprrafopredeter"/>
    <w:qFormat/>
    <w:rsid w:val="00533FB9"/>
  </w:style>
  <w:style w:type="character" w:customStyle="1" w:styleId="l3">
    <w:name w:val="l3"/>
    <w:basedOn w:val="Fuentedeprrafopredeter"/>
    <w:qFormat/>
    <w:rsid w:val="00533FB9"/>
  </w:style>
  <w:style w:type="character" w:customStyle="1" w:styleId="l8">
    <w:name w:val="l8"/>
    <w:basedOn w:val="Fuentedeprrafopredeter"/>
    <w:qFormat/>
    <w:rsid w:val="00533FB9"/>
  </w:style>
  <w:style w:type="character" w:customStyle="1" w:styleId="TextonotaalfinalCar">
    <w:name w:val="Texto nota al final Car"/>
    <w:basedOn w:val="Fuentedeprrafopredeter"/>
    <w:link w:val="Textonotaalfinal"/>
    <w:qFormat/>
    <w:rsid w:val="00887B14"/>
    <w:rPr>
      <w:lang w:val="es-ES" w:eastAsia="es-ES"/>
    </w:rPr>
  </w:style>
  <w:style w:type="character" w:styleId="Refdenotaalfinal">
    <w:name w:val="endnote reference"/>
    <w:basedOn w:val="Fuentedeprrafopredeter"/>
    <w:qFormat/>
    <w:rsid w:val="00887B14"/>
    <w:rPr>
      <w:vertAlign w:val="superscript"/>
    </w:rPr>
  </w:style>
  <w:style w:type="character" w:customStyle="1" w:styleId="im">
    <w:name w:val="im"/>
    <w:basedOn w:val="Fuentedeprrafopredeter"/>
    <w:qFormat/>
    <w:rsid w:val="000F44CA"/>
  </w:style>
  <w:style w:type="character" w:customStyle="1" w:styleId="ListLabel1">
    <w:name w:val="ListLabel 1"/>
    <w:qFormat/>
    <w:rsid w:val="00992B8F"/>
    <w:rPr>
      <w:rFonts w:ascii="Arial" w:hAnsi="Arial" w:cs="Courier New"/>
      <w:sz w:val="22"/>
    </w:rPr>
  </w:style>
  <w:style w:type="character" w:customStyle="1" w:styleId="ListLabel2">
    <w:name w:val="ListLabel 2"/>
    <w:qFormat/>
    <w:rsid w:val="00992B8F"/>
    <w:rPr>
      <w:rFonts w:ascii="Arial" w:hAnsi="Arial" w:cs="Courier New"/>
      <w:color w:val="0070C0"/>
      <w:sz w:val="22"/>
    </w:rPr>
  </w:style>
  <w:style w:type="character" w:customStyle="1" w:styleId="ListLabel3">
    <w:name w:val="ListLabel 3"/>
    <w:qFormat/>
    <w:rsid w:val="00992B8F"/>
    <w:rPr>
      <w:rFonts w:eastAsia="Times New Roman" w:cs="Arial"/>
    </w:rPr>
  </w:style>
  <w:style w:type="character" w:customStyle="1" w:styleId="ListLabel4">
    <w:name w:val="ListLabel 4"/>
    <w:qFormat/>
    <w:rsid w:val="00992B8F"/>
    <w:rPr>
      <w:sz w:val="20"/>
    </w:rPr>
  </w:style>
  <w:style w:type="character" w:customStyle="1" w:styleId="Caracteresdenotaalpie">
    <w:name w:val="Caracteres de nota al pie"/>
    <w:qFormat/>
    <w:rsid w:val="00992B8F"/>
  </w:style>
  <w:style w:type="character" w:customStyle="1" w:styleId="Ancladenotaalpie">
    <w:name w:val="Ancla de nota al pie"/>
    <w:rsid w:val="00992B8F"/>
    <w:rPr>
      <w:vertAlign w:val="superscript"/>
    </w:rPr>
  </w:style>
  <w:style w:type="character" w:customStyle="1" w:styleId="Ancladenotafinal">
    <w:name w:val="Ancla de nota final"/>
    <w:rsid w:val="00992B8F"/>
    <w:rPr>
      <w:vertAlign w:val="superscript"/>
    </w:rPr>
  </w:style>
  <w:style w:type="character" w:customStyle="1" w:styleId="Caracteresdenotafinal">
    <w:name w:val="Caracteres de nota final"/>
    <w:qFormat/>
    <w:rsid w:val="00992B8F"/>
  </w:style>
  <w:style w:type="character" w:customStyle="1" w:styleId="ListLabel5">
    <w:name w:val="ListLabel 5"/>
    <w:qFormat/>
    <w:rsid w:val="00992B8F"/>
    <w:rPr>
      <w:rFonts w:ascii="Arial" w:hAnsi="Arial" w:cs="Wingdings"/>
      <w:b/>
      <w:sz w:val="22"/>
    </w:rPr>
  </w:style>
  <w:style w:type="character" w:customStyle="1" w:styleId="ListLabel6">
    <w:name w:val="ListLabel 6"/>
    <w:qFormat/>
    <w:rsid w:val="00992B8F"/>
    <w:rPr>
      <w:rFonts w:ascii="Arial" w:hAnsi="Arial" w:cs="Courier New"/>
      <w:sz w:val="22"/>
    </w:rPr>
  </w:style>
  <w:style w:type="character" w:customStyle="1" w:styleId="ListLabel7">
    <w:name w:val="ListLabel 7"/>
    <w:qFormat/>
    <w:rsid w:val="00992B8F"/>
    <w:rPr>
      <w:rFonts w:cs="Symbol"/>
    </w:rPr>
  </w:style>
  <w:style w:type="character" w:customStyle="1" w:styleId="ListLabel8">
    <w:name w:val="ListLabel 8"/>
    <w:qFormat/>
    <w:rsid w:val="00992B8F"/>
    <w:rPr>
      <w:rFonts w:ascii="Arial" w:hAnsi="Arial" w:cs="Courier New"/>
      <w:color w:val="0070C0"/>
      <w:sz w:val="22"/>
    </w:rPr>
  </w:style>
  <w:style w:type="character" w:customStyle="1" w:styleId="ListLabel9">
    <w:name w:val="ListLabel 9"/>
    <w:qFormat/>
    <w:rsid w:val="00992B8F"/>
    <w:rPr>
      <w:rFonts w:ascii="Arial" w:hAnsi="Arial" w:cs="Wingdings"/>
      <w:b/>
      <w:sz w:val="22"/>
    </w:rPr>
  </w:style>
  <w:style w:type="character" w:customStyle="1" w:styleId="ListLabel10">
    <w:name w:val="ListLabel 10"/>
    <w:qFormat/>
    <w:rsid w:val="00992B8F"/>
    <w:rPr>
      <w:rFonts w:ascii="Arial" w:hAnsi="Arial" w:cs="Courier New"/>
      <w:sz w:val="22"/>
    </w:rPr>
  </w:style>
  <w:style w:type="character" w:customStyle="1" w:styleId="ListLabel11">
    <w:name w:val="ListLabel 11"/>
    <w:qFormat/>
    <w:rsid w:val="00992B8F"/>
    <w:rPr>
      <w:rFonts w:cs="Symbol"/>
    </w:rPr>
  </w:style>
  <w:style w:type="character" w:customStyle="1" w:styleId="ListLabel12">
    <w:name w:val="ListLabel 12"/>
    <w:qFormat/>
    <w:rsid w:val="00992B8F"/>
    <w:rPr>
      <w:rFonts w:ascii="Arial" w:hAnsi="Arial" w:cs="Courier New"/>
      <w:color w:val="0070C0"/>
      <w:sz w:val="22"/>
    </w:rPr>
  </w:style>
  <w:style w:type="character" w:customStyle="1" w:styleId="ListLabel13">
    <w:name w:val="ListLabel 13"/>
    <w:qFormat/>
    <w:rsid w:val="00992B8F"/>
    <w:rPr>
      <w:rFonts w:ascii="Arial" w:hAnsi="Arial" w:cs="Wingdings"/>
      <w:b/>
      <w:sz w:val="22"/>
    </w:rPr>
  </w:style>
  <w:style w:type="character" w:customStyle="1" w:styleId="ListLabel14">
    <w:name w:val="ListLabel 14"/>
    <w:qFormat/>
    <w:rsid w:val="00992B8F"/>
    <w:rPr>
      <w:rFonts w:ascii="Arial" w:hAnsi="Arial" w:cs="Courier New"/>
      <w:sz w:val="22"/>
    </w:rPr>
  </w:style>
  <w:style w:type="character" w:customStyle="1" w:styleId="ListLabel15">
    <w:name w:val="ListLabel 15"/>
    <w:qFormat/>
    <w:rsid w:val="00992B8F"/>
    <w:rPr>
      <w:rFonts w:cs="Symbol"/>
    </w:rPr>
  </w:style>
  <w:style w:type="character" w:customStyle="1" w:styleId="ListLabel16">
    <w:name w:val="ListLabel 16"/>
    <w:qFormat/>
    <w:rsid w:val="00992B8F"/>
    <w:rPr>
      <w:rFonts w:ascii="Arial" w:hAnsi="Arial" w:cs="Courier New"/>
      <w:color w:val="0070C0"/>
      <w:sz w:val="22"/>
    </w:rPr>
  </w:style>
  <w:style w:type="character" w:customStyle="1" w:styleId="ListLabel17">
    <w:name w:val="ListLabel 17"/>
    <w:qFormat/>
    <w:rsid w:val="00992B8F"/>
    <w:rPr>
      <w:rFonts w:ascii="Arial" w:hAnsi="Arial" w:cs="Wingdings"/>
      <w:b/>
      <w:sz w:val="22"/>
    </w:rPr>
  </w:style>
  <w:style w:type="character" w:customStyle="1" w:styleId="ListLabel18">
    <w:name w:val="ListLabel 18"/>
    <w:qFormat/>
    <w:rsid w:val="00992B8F"/>
    <w:rPr>
      <w:rFonts w:ascii="Arial" w:hAnsi="Arial" w:cs="Courier New"/>
      <w:sz w:val="22"/>
    </w:rPr>
  </w:style>
  <w:style w:type="character" w:customStyle="1" w:styleId="ListLabel19">
    <w:name w:val="ListLabel 19"/>
    <w:qFormat/>
    <w:rsid w:val="00992B8F"/>
    <w:rPr>
      <w:rFonts w:cs="Symbol"/>
    </w:rPr>
  </w:style>
  <w:style w:type="character" w:customStyle="1" w:styleId="ListLabel20">
    <w:name w:val="ListLabel 20"/>
    <w:qFormat/>
    <w:rsid w:val="00992B8F"/>
    <w:rPr>
      <w:rFonts w:ascii="Arial" w:hAnsi="Arial" w:cs="Courier New"/>
      <w:color w:val="0070C0"/>
      <w:sz w:val="22"/>
    </w:rPr>
  </w:style>
  <w:style w:type="character" w:customStyle="1" w:styleId="ListLabel21">
    <w:name w:val="ListLabel 21"/>
    <w:qFormat/>
    <w:rsid w:val="00992B8F"/>
    <w:rPr>
      <w:rFonts w:ascii="Arial" w:hAnsi="Arial" w:cs="Wingdings"/>
      <w:b/>
      <w:sz w:val="22"/>
    </w:rPr>
  </w:style>
  <w:style w:type="character" w:customStyle="1" w:styleId="ListLabel22">
    <w:name w:val="ListLabel 22"/>
    <w:qFormat/>
    <w:rsid w:val="00992B8F"/>
    <w:rPr>
      <w:rFonts w:ascii="Arial" w:hAnsi="Arial" w:cs="Courier New"/>
      <w:sz w:val="22"/>
    </w:rPr>
  </w:style>
  <w:style w:type="character" w:customStyle="1" w:styleId="ListLabel23">
    <w:name w:val="ListLabel 23"/>
    <w:qFormat/>
    <w:rsid w:val="00992B8F"/>
    <w:rPr>
      <w:rFonts w:cs="Symbol"/>
    </w:rPr>
  </w:style>
  <w:style w:type="character" w:customStyle="1" w:styleId="ListLabel24">
    <w:name w:val="ListLabel 24"/>
    <w:qFormat/>
    <w:rsid w:val="00992B8F"/>
    <w:rPr>
      <w:rFonts w:ascii="Arial" w:hAnsi="Arial" w:cs="Courier New"/>
      <w:color w:val="0070C0"/>
      <w:sz w:val="22"/>
    </w:rPr>
  </w:style>
  <w:style w:type="paragraph" w:styleId="Encabezado">
    <w:name w:val="header"/>
    <w:basedOn w:val="Normal"/>
    <w:next w:val="Cuerpodetexto"/>
    <w:qFormat/>
    <w:rsid w:val="00992B8F"/>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rsid w:val="00C20AB9"/>
    <w:pPr>
      <w:spacing w:after="120"/>
    </w:pPr>
  </w:style>
  <w:style w:type="paragraph" w:styleId="Lista">
    <w:name w:val="List"/>
    <w:basedOn w:val="Cuerpodetexto"/>
    <w:rsid w:val="00992B8F"/>
    <w:rPr>
      <w:rFonts w:cs="FreeSans"/>
    </w:rPr>
  </w:style>
  <w:style w:type="paragraph" w:customStyle="1" w:styleId="Leyenda">
    <w:name w:val="Leyenda"/>
    <w:basedOn w:val="Normal"/>
    <w:rsid w:val="00992B8F"/>
    <w:pPr>
      <w:suppressLineNumbers/>
      <w:spacing w:before="120" w:after="120"/>
    </w:pPr>
    <w:rPr>
      <w:rFonts w:cs="FreeSans"/>
      <w:i/>
      <w:iCs/>
    </w:rPr>
  </w:style>
  <w:style w:type="paragraph" w:customStyle="1" w:styleId="ndice">
    <w:name w:val="Índice"/>
    <w:basedOn w:val="Normal"/>
    <w:qFormat/>
    <w:rsid w:val="00992B8F"/>
    <w:pPr>
      <w:suppressLineNumbers/>
    </w:pPr>
    <w:rPr>
      <w:rFonts w:cs="FreeSans"/>
    </w:rPr>
  </w:style>
  <w:style w:type="paragraph" w:customStyle="1" w:styleId="Encabezamiento">
    <w:name w:val="Encabezamiento"/>
    <w:basedOn w:val="Normal"/>
    <w:rsid w:val="00C20AB9"/>
    <w:pPr>
      <w:tabs>
        <w:tab w:val="center" w:pos="4252"/>
        <w:tab w:val="right" w:pos="8504"/>
      </w:tabs>
      <w:jc w:val="both"/>
    </w:pPr>
    <w:rPr>
      <w:rFonts w:eastAsia="MS Mincho"/>
      <w:szCs w:val="20"/>
    </w:rPr>
  </w:style>
  <w:style w:type="paragraph" w:styleId="Textoindependiente2">
    <w:name w:val="Body Text 2"/>
    <w:basedOn w:val="Normal"/>
    <w:qFormat/>
    <w:rsid w:val="00C50344"/>
    <w:pPr>
      <w:jc w:val="both"/>
    </w:pPr>
    <w:rPr>
      <w:rFonts w:eastAsia="MS Mincho"/>
      <w:b/>
      <w:szCs w:val="20"/>
    </w:rPr>
  </w:style>
  <w:style w:type="paragraph" w:styleId="Ttulo">
    <w:name w:val="Title"/>
    <w:basedOn w:val="Normal"/>
    <w:link w:val="TtuloCar"/>
    <w:qFormat/>
    <w:rsid w:val="00C50344"/>
    <w:pPr>
      <w:spacing w:line="360" w:lineRule="auto"/>
      <w:jc w:val="center"/>
    </w:pPr>
    <w:rPr>
      <w:rFonts w:ascii="Arial" w:hAnsi="Arial"/>
      <w:b/>
      <w:sz w:val="28"/>
      <w:lang w:val="en-US"/>
    </w:rPr>
  </w:style>
  <w:style w:type="paragraph" w:customStyle="1" w:styleId="Cuerpodetextoconsangra">
    <w:name w:val="Cuerpo de texto con sangría"/>
    <w:basedOn w:val="Normal"/>
    <w:rsid w:val="00C50344"/>
    <w:pPr>
      <w:spacing w:line="360" w:lineRule="auto"/>
      <w:ind w:left="283"/>
      <w:jc w:val="both"/>
    </w:pPr>
    <w:rPr>
      <w:rFonts w:ascii="Arial" w:hAnsi="Arial"/>
      <w:lang w:val="en-US"/>
    </w:rPr>
  </w:style>
  <w:style w:type="paragraph" w:customStyle="1" w:styleId="Textoindependiente21">
    <w:name w:val="Texto independiente 21"/>
    <w:basedOn w:val="Normal"/>
    <w:qFormat/>
    <w:rsid w:val="00C50344"/>
    <w:pPr>
      <w:ind w:left="497" w:hanging="497"/>
      <w:jc w:val="both"/>
    </w:pPr>
    <w:rPr>
      <w:rFonts w:eastAsia="MS Mincho"/>
      <w:szCs w:val="20"/>
      <w:lang w:val="es-CR"/>
    </w:rPr>
  </w:style>
  <w:style w:type="paragraph" w:styleId="Textoindependiente3">
    <w:name w:val="Body Text 3"/>
    <w:basedOn w:val="Normal"/>
    <w:qFormat/>
    <w:rsid w:val="00C20AB9"/>
    <w:pPr>
      <w:spacing w:after="120"/>
    </w:pPr>
    <w:rPr>
      <w:sz w:val="16"/>
      <w:szCs w:val="16"/>
    </w:rPr>
  </w:style>
  <w:style w:type="paragraph" w:styleId="Textosinformato">
    <w:name w:val="Plain Text"/>
    <w:basedOn w:val="Normal"/>
    <w:link w:val="TextosinformatoCar"/>
    <w:uiPriority w:val="99"/>
    <w:qFormat/>
    <w:rsid w:val="00C20AB9"/>
    <w:pPr>
      <w:jc w:val="both"/>
    </w:pPr>
    <w:rPr>
      <w:rFonts w:ascii="Courier New" w:eastAsia="MS Mincho" w:hAnsi="Courier New"/>
      <w:szCs w:val="20"/>
    </w:rPr>
  </w:style>
  <w:style w:type="paragraph" w:customStyle="1" w:styleId="Sangra2detindependiente1">
    <w:name w:val="Sangría 2 de t. independiente1"/>
    <w:basedOn w:val="Normal"/>
    <w:qFormat/>
    <w:rsid w:val="00C20AB9"/>
    <w:pPr>
      <w:ind w:left="355" w:hanging="355"/>
      <w:jc w:val="both"/>
    </w:pPr>
    <w:rPr>
      <w:rFonts w:eastAsia="MS Mincho"/>
      <w:szCs w:val="20"/>
      <w:lang w:val="es-CR"/>
    </w:rPr>
  </w:style>
  <w:style w:type="paragraph" w:customStyle="1" w:styleId="xl24">
    <w:name w:val="xl24"/>
    <w:basedOn w:val="Normal"/>
    <w:qFormat/>
    <w:rsid w:val="00C20AB9"/>
    <w:pPr>
      <w:spacing w:beforeAutospacing="1" w:afterAutospacing="1"/>
      <w:jc w:val="both"/>
      <w:textAlignment w:val="center"/>
    </w:pPr>
    <w:rPr>
      <w:rFonts w:eastAsia="MS Mincho"/>
      <w:b/>
      <w:bCs/>
    </w:rPr>
  </w:style>
  <w:style w:type="paragraph" w:customStyle="1" w:styleId="xl25">
    <w:name w:val="xl25"/>
    <w:basedOn w:val="Normal"/>
    <w:qFormat/>
    <w:rsid w:val="00C20AB9"/>
    <w:pPr>
      <w:spacing w:beforeAutospacing="1" w:afterAutospacing="1"/>
      <w:jc w:val="center"/>
      <w:textAlignment w:val="center"/>
    </w:pPr>
    <w:rPr>
      <w:rFonts w:eastAsia="MS Mincho"/>
      <w:b/>
      <w:bCs/>
    </w:rPr>
  </w:style>
  <w:style w:type="paragraph" w:customStyle="1" w:styleId="xl26">
    <w:name w:val="xl26"/>
    <w:basedOn w:val="Normal"/>
    <w:qFormat/>
    <w:rsid w:val="00C20AB9"/>
    <w:pPr>
      <w:spacing w:beforeAutospacing="1" w:afterAutospacing="1"/>
      <w:jc w:val="center"/>
      <w:textAlignment w:val="center"/>
    </w:pPr>
    <w:rPr>
      <w:rFonts w:eastAsia="MS Mincho"/>
      <w:b/>
      <w:bCs/>
    </w:rPr>
  </w:style>
  <w:style w:type="paragraph" w:customStyle="1" w:styleId="xl27">
    <w:name w:val="xl27"/>
    <w:basedOn w:val="Normal"/>
    <w:qFormat/>
    <w:rsid w:val="00C20AB9"/>
    <w:pPr>
      <w:spacing w:beforeAutospacing="1" w:afterAutospacing="1"/>
      <w:jc w:val="both"/>
      <w:textAlignment w:val="center"/>
    </w:pPr>
    <w:rPr>
      <w:rFonts w:eastAsia="MS Mincho"/>
      <w:b/>
      <w:bCs/>
    </w:rPr>
  </w:style>
  <w:style w:type="paragraph" w:customStyle="1" w:styleId="xl28">
    <w:name w:val="xl28"/>
    <w:basedOn w:val="Normal"/>
    <w:qFormat/>
    <w:rsid w:val="00C20AB9"/>
    <w:pPr>
      <w:spacing w:beforeAutospacing="1" w:afterAutospacing="1"/>
      <w:jc w:val="both"/>
      <w:textAlignment w:val="center"/>
    </w:pPr>
    <w:rPr>
      <w:rFonts w:eastAsia="MS Mincho"/>
    </w:rPr>
  </w:style>
  <w:style w:type="paragraph" w:customStyle="1" w:styleId="xl29">
    <w:name w:val="xl29"/>
    <w:basedOn w:val="Normal"/>
    <w:qFormat/>
    <w:rsid w:val="00C20AB9"/>
    <w:pPr>
      <w:spacing w:beforeAutospacing="1" w:afterAutospacing="1"/>
      <w:jc w:val="right"/>
      <w:textAlignment w:val="center"/>
    </w:pPr>
    <w:rPr>
      <w:rFonts w:eastAsia="MS Mincho"/>
      <w:b/>
      <w:bCs/>
    </w:rPr>
  </w:style>
  <w:style w:type="paragraph" w:customStyle="1" w:styleId="xl30">
    <w:name w:val="xl30"/>
    <w:basedOn w:val="Normal"/>
    <w:qFormat/>
    <w:rsid w:val="00C20AB9"/>
    <w:pPr>
      <w:spacing w:beforeAutospacing="1" w:afterAutospacing="1"/>
      <w:jc w:val="both"/>
      <w:textAlignment w:val="center"/>
    </w:pPr>
    <w:rPr>
      <w:rFonts w:eastAsia="MS Mincho"/>
      <w:i/>
      <w:iCs/>
    </w:rPr>
  </w:style>
  <w:style w:type="paragraph" w:customStyle="1" w:styleId="xl31">
    <w:name w:val="xl31"/>
    <w:basedOn w:val="Normal"/>
    <w:qFormat/>
    <w:rsid w:val="00C20AB9"/>
    <w:pPr>
      <w:spacing w:beforeAutospacing="1" w:afterAutospacing="1"/>
      <w:jc w:val="both"/>
      <w:textAlignment w:val="center"/>
    </w:pPr>
    <w:rPr>
      <w:rFonts w:eastAsia="MS Mincho"/>
      <w:i/>
      <w:iCs/>
    </w:rPr>
  </w:style>
  <w:style w:type="paragraph" w:customStyle="1" w:styleId="xl32">
    <w:name w:val="xl32"/>
    <w:basedOn w:val="Normal"/>
    <w:qFormat/>
    <w:rsid w:val="00C20AB9"/>
    <w:pPr>
      <w:spacing w:beforeAutospacing="1" w:afterAutospacing="1"/>
      <w:jc w:val="both"/>
      <w:textAlignment w:val="center"/>
    </w:pPr>
    <w:rPr>
      <w:rFonts w:eastAsia="MS Mincho"/>
    </w:rPr>
  </w:style>
  <w:style w:type="paragraph" w:customStyle="1" w:styleId="xl33">
    <w:name w:val="xl33"/>
    <w:basedOn w:val="Normal"/>
    <w:qFormat/>
    <w:rsid w:val="00C20AB9"/>
    <w:pPr>
      <w:pBdr>
        <w:bottom w:val="single" w:sz="12" w:space="0" w:color="00000A"/>
      </w:pBdr>
      <w:spacing w:beforeAutospacing="1" w:afterAutospacing="1"/>
      <w:jc w:val="both"/>
      <w:textAlignment w:val="center"/>
    </w:pPr>
    <w:rPr>
      <w:rFonts w:eastAsia="MS Mincho"/>
    </w:rPr>
  </w:style>
  <w:style w:type="paragraph" w:customStyle="1" w:styleId="xl34">
    <w:name w:val="xl34"/>
    <w:basedOn w:val="Normal"/>
    <w:qFormat/>
    <w:rsid w:val="00C20AB9"/>
    <w:pPr>
      <w:pBdr>
        <w:bottom w:val="single" w:sz="12" w:space="0" w:color="00000A"/>
      </w:pBdr>
      <w:spacing w:beforeAutospacing="1" w:afterAutospacing="1"/>
      <w:jc w:val="both"/>
      <w:textAlignment w:val="center"/>
    </w:pPr>
    <w:rPr>
      <w:rFonts w:eastAsia="MS Mincho"/>
    </w:rPr>
  </w:style>
  <w:style w:type="paragraph" w:customStyle="1" w:styleId="xl35">
    <w:name w:val="xl35"/>
    <w:basedOn w:val="Normal"/>
    <w:qFormat/>
    <w:rsid w:val="00C20AB9"/>
    <w:pPr>
      <w:pBdr>
        <w:top w:val="single" w:sz="12" w:space="0" w:color="00000A"/>
        <w:bottom w:val="single" w:sz="8" w:space="0" w:color="00000A"/>
      </w:pBdr>
      <w:spacing w:beforeAutospacing="1" w:afterAutospacing="1"/>
      <w:jc w:val="right"/>
      <w:textAlignment w:val="center"/>
    </w:pPr>
    <w:rPr>
      <w:rFonts w:eastAsia="MS Mincho"/>
      <w:b/>
      <w:bCs/>
    </w:rPr>
  </w:style>
  <w:style w:type="paragraph" w:customStyle="1" w:styleId="xl36">
    <w:name w:val="xl36"/>
    <w:basedOn w:val="Normal"/>
    <w:qFormat/>
    <w:rsid w:val="00C20AB9"/>
    <w:pPr>
      <w:pBdr>
        <w:top w:val="single" w:sz="12" w:space="0" w:color="00000A"/>
        <w:bottom w:val="single" w:sz="8" w:space="0" w:color="00000A"/>
      </w:pBdr>
      <w:spacing w:beforeAutospacing="1" w:afterAutospacing="1"/>
      <w:jc w:val="right"/>
      <w:textAlignment w:val="center"/>
    </w:pPr>
    <w:rPr>
      <w:rFonts w:eastAsia="MS Mincho"/>
      <w:b/>
      <w:bCs/>
    </w:rPr>
  </w:style>
  <w:style w:type="paragraph" w:customStyle="1" w:styleId="xl37">
    <w:name w:val="xl37"/>
    <w:basedOn w:val="Normal"/>
    <w:qFormat/>
    <w:rsid w:val="00C20AB9"/>
    <w:pPr>
      <w:pBdr>
        <w:top w:val="single" w:sz="12" w:space="0" w:color="00000A"/>
        <w:bottom w:val="single" w:sz="8" w:space="0" w:color="00000A"/>
        <w:right w:val="single" w:sz="8" w:space="0" w:color="00000A"/>
      </w:pBdr>
      <w:spacing w:beforeAutospacing="1" w:afterAutospacing="1"/>
      <w:jc w:val="center"/>
      <w:textAlignment w:val="center"/>
    </w:pPr>
    <w:rPr>
      <w:rFonts w:eastAsia="MS Mincho"/>
      <w:b/>
      <w:bCs/>
    </w:rPr>
  </w:style>
  <w:style w:type="paragraph" w:customStyle="1" w:styleId="xl38">
    <w:name w:val="xl38"/>
    <w:basedOn w:val="Normal"/>
    <w:qFormat/>
    <w:rsid w:val="00C20AB9"/>
    <w:pPr>
      <w:spacing w:beforeAutospacing="1" w:afterAutospacing="1"/>
      <w:jc w:val="both"/>
      <w:textAlignment w:val="center"/>
    </w:pPr>
    <w:rPr>
      <w:rFonts w:eastAsia="MS Mincho"/>
      <w:b/>
      <w:bCs/>
    </w:rPr>
  </w:style>
  <w:style w:type="paragraph" w:styleId="Piedepgina">
    <w:name w:val="footer"/>
    <w:basedOn w:val="Normal"/>
    <w:link w:val="PiedepginaCar"/>
    <w:uiPriority w:val="99"/>
    <w:rsid w:val="00C20AB9"/>
    <w:pPr>
      <w:tabs>
        <w:tab w:val="center" w:pos="4252"/>
        <w:tab w:val="right" w:pos="8504"/>
      </w:tabs>
      <w:jc w:val="both"/>
    </w:pPr>
    <w:rPr>
      <w:rFonts w:eastAsia="MS Mincho"/>
      <w:szCs w:val="20"/>
    </w:rPr>
  </w:style>
  <w:style w:type="paragraph" w:styleId="Textonotapie">
    <w:name w:val="footnote text"/>
    <w:basedOn w:val="Normal"/>
    <w:semiHidden/>
    <w:qFormat/>
    <w:rsid w:val="00C20AB9"/>
    <w:pPr>
      <w:jc w:val="both"/>
    </w:pPr>
    <w:rPr>
      <w:rFonts w:eastAsia="MS Mincho"/>
      <w:szCs w:val="20"/>
    </w:rPr>
  </w:style>
  <w:style w:type="paragraph" w:styleId="Epgrafe">
    <w:name w:val="caption"/>
    <w:basedOn w:val="Normal"/>
    <w:next w:val="Normal"/>
    <w:qFormat/>
    <w:rsid w:val="00C20AB9"/>
    <w:pPr>
      <w:spacing w:before="120" w:after="120"/>
      <w:jc w:val="both"/>
    </w:pPr>
    <w:rPr>
      <w:rFonts w:eastAsia="MS Mincho"/>
      <w:b/>
      <w:bCs/>
      <w:szCs w:val="20"/>
    </w:rPr>
  </w:style>
  <w:style w:type="paragraph" w:styleId="ndice1">
    <w:name w:val="index 1"/>
    <w:basedOn w:val="Normal"/>
    <w:next w:val="Normal"/>
    <w:autoRedefine/>
    <w:uiPriority w:val="39"/>
    <w:qFormat/>
    <w:rsid w:val="00356E52"/>
    <w:pPr>
      <w:tabs>
        <w:tab w:val="right" w:leader="dot" w:pos="8789"/>
      </w:tabs>
      <w:spacing w:line="480" w:lineRule="auto"/>
      <w:ind w:right="431"/>
      <w:jc w:val="both"/>
    </w:pPr>
    <w:rPr>
      <w:rFonts w:ascii="Arial" w:hAnsi="Arial" w:cs="Arial"/>
      <w:b/>
      <w:bCs/>
      <w:caps/>
      <w:sz w:val="20"/>
      <w:szCs w:val="20"/>
    </w:rPr>
  </w:style>
  <w:style w:type="paragraph" w:styleId="ndice2">
    <w:name w:val="index 2"/>
    <w:basedOn w:val="Normal"/>
    <w:next w:val="Normal"/>
    <w:autoRedefine/>
    <w:uiPriority w:val="39"/>
    <w:qFormat/>
    <w:rsid w:val="00E4032F"/>
    <w:pPr>
      <w:tabs>
        <w:tab w:val="right" w:leader="dot" w:pos="8931"/>
      </w:tabs>
      <w:spacing w:line="480" w:lineRule="auto"/>
      <w:ind w:right="431"/>
      <w:jc w:val="both"/>
    </w:pPr>
    <w:rPr>
      <w:rFonts w:ascii="Arial" w:hAnsi="Arial" w:cs="Arial"/>
      <w:smallCaps/>
    </w:rPr>
  </w:style>
  <w:style w:type="paragraph" w:styleId="ndice3">
    <w:name w:val="index 3"/>
    <w:basedOn w:val="Normal"/>
    <w:next w:val="Normal"/>
    <w:autoRedefine/>
    <w:uiPriority w:val="39"/>
    <w:qFormat/>
    <w:rsid w:val="00E4032F"/>
    <w:pPr>
      <w:tabs>
        <w:tab w:val="right" w:leader="dot" w:pos="8647"/>
      </w:tabs>
      <w:spacing w:line="360" w:lineRule="auto"/>
      <w:ind w:right="431" w:firstLine="288"/>
      <w:jc w:val="right"/>
    </w:pPr>
    <w:rPr>
      <w:rFonts w:ascii="Arial" w:hAnsi="Arial" w:cs="Arial"/>
      <w:i/>
      <w:iCs/>
    </w:rPr>
  </w:style>
  <w:style w:type="paragraph" w:styleId="ndice4">
    <w:name w:val="index 4"/>
    <w:basedOn w:val="Normal"/>
    <w:next w:val="Normal"/>
    <w:autoRedefine/>
    <w:semiHidden/>
    <w:qFormat/>
    <w:rsid w:val="00C20AB9"/>
    <w:pPr>
      <w:ind w:left="720"/>
    </w:pPr>
    <w:rPr>
      <w:sz w:val="18"/>
      <w:szCs w:val="18"/>
    </w:rPr>
  </w:style>
  <w:style w:type="paragraph" w:styleId="ndice5">
    <w:name w:val="index 5"/>
    <w:basedOn w:val="Normal"/>
    <w:next w:val="Normal"/>
    <w:autoRedefine/>
    <w:semiHidden/>
    <w:qFormat/>
    <w:rsid w:val="00C20AB9"/>
    <w:pPr>
      <w:ind w:left="960"/>
    </w:pPr>
    <w:rPr>
      <w:sz w:val="18"/>
      <w:szCs w:val="18"/>
    </w:rPr>
  </w:style>
  <w:style w:type="paragraph" w:styleId="ndice6">
    <w:name w:val="index 6"/>
    <w:basedOn w:val="Normal"/>
    <w:next w:val="Normal"/>
    <w:autoRedefine/>
    <w:semiHidden/>
    <w:qFormat/>
    <w:rsid w:val="00C20AB9"/>
    <w:pPr>
      <w:ind w:left="1200"/>
    </w:pPr>
    <w:rPr>
      <w:sz w:val="18"/>
      <w:szCs w:val="18"/>
    </w:rPr>
  </w:style>
  <w:style w:type="paragraph" w:styleId="ndice7">
    <w:name w:val="index 7"/>
    <w:basedOn w:val="Normal"/>
    <w:next w:val="Normal"/>
    <w:autoRedefine/>
    <w:semiHidden/>
    <w:qFormat/>
    <w:rsid w:val="00C20AB9"/>
    <w:pPr>
      <w:ind w:left="1440"/>
    </w:pPr>
    <w:rPr>
      <w:sz w:val="18"/>
      <w:szCs w:val="18"/>
    </w:rPr>
  </w:style>
  <w:style w:type="paragraph" w:styleId="ndice8">
    <w:name w:val="index 8"/>
    <w:basedOn w:val="Normal"/>
    <w:next w:val="Normal"/>
    <w:autoRedefine/>
    <w:semiHidden/>
    <w:qFormat/>
    <w:rsid w:val="00C20AB9"/>
    <w:pPr>
      <w:ind w:left="1680"/>
    </w:pPr>
    <w:rPr>
      <w:sz w:val="18"/>
      <w:szCs w:val="18"/>
    </w:rPr>
  </w:style>
  <w:style w:type="paragraph" w:styleId="ndice9">
    <w:name w:val="index 9"/>
    <w:basedOn w:val="Normal"/>
    <w:next w:val="Normal"/>
    <w:autoRedefine/>
    <w:semiHidden/>
    <w:qFormat/>
    <w:rsid w:val="00C20AB9"/>
    <w:pPr>
      <w:ind w:left="1920"/>
    </w:pPr>
    <w:rPr>
      <w:sz w:val="18"/>
      <w:szCs w:val="18"/>
    </w:rPr>
  </w:style>
  <w:style w:type="paragraph" w:customStyle="1" w:styleId="Titulo1">
    <w:name w:val="Titulo 1"/>
    <w:basedOn w:val="Encabezado1"/>
    <w:qFormat/>
    <w:rsid w:val="00C20AB9"/>
    <w:pPr>
      <w:spacing w:line="360" w:lineRule="auto"/>
    </w:pPr>
  </w:style>
  <w:style w:type="paragraph" w:customStyle="1" w:styleId="Titulo2">
    <w:name w:val="Titulo 2"/>
    <w:basedOn w:val="Normal"/>
    <w:qFormat/>
    <w:rsid w:val="00C20AB9"/>
    <w:pPr>
      <w:jc w:val="center"/>
    </w:pPr>
    <w:rPr>
      <w:rFonts w:eastAsia="MS Mincho"/>
      <w:b/>
      <w:bCs/>
      <w:i/>
      <w:iCs/>
      <w:szCs w:val="20"/>
    </w:rPr>
  </w:style>
  <w:style w:type="paragraph" w:customStyle="1" w:styleId="Normal1">
    <w:name w:val="Normal1"/>
    <w:basedOn w:val="Encabezado1"/>
    <w:qFormat/>
    <w:rsid w:val="00C20AB9"/>
    <w:rPr>
      <w:i/>
    </w:rPr>
  </w:style>
  <w:style w:type="paragraph" w:customStyle="1" w:styleId="estilo29">
    <w:name w:val="estilo29"/>
    <w:basedOn w:val="Normal"/>
    <w:qFormat/>
    <w:rsid w:val="00C20AB9"/>
    <w:pPr>
      <w:spacing w:beforeAutospacing="1" w:afterAutospacing="1"/>
    </w:pPr>
    <w:rPr>
      <w:rFonts w:ascii="Arial" w:hAnsi="Arial" w:cs="Arial"/>
      <w:sz w:val="21"/>
      <w:szCs w:val="21"/>
    </w:rPr>
  </w:style>
  <w:style w:type="paragraph" w:styleId="NormalWeb">
    <w:name w:val="Normal (Web)"/>
    <w:basedOn w:val="Normal"/>
    <w:qFormat/>
    <w:rsid w:val="00C20AB9"/>
    <w:pPr>
      <w:spacing w:beforeAutospacing="1" w:afterAutospacing="1"/>
    </w:pPr>
  </w:style>
  <w:style w:type="paragraph" w:styleId="Prrafodelista">
    <w:name w:val="List Paragraph"/>
    <w:basedOn w:val="Normal"/>
    <w:uiPriority w:val="34"/>
    <w:qFormat/>
    <w:rsid w:val="00C20AB9"/>
    <w:pPr>
      <w:ind w:left="720"/>
      <w:contextualSpacing/>
      <w:jc w:val="both"/>
    </w:pPr>
    <w:rPr>
      <w:rFonts w:eastAsia="MS Mincho"/>
      <w:szCs w:val="20"/>
    </w:rPr>
  </w:style>
  <w:style w:type="paragraph" w:styleId="Textocomentario">
    <w:name w:val="annotation text"/>
    <w:basedOn w:val="Normal"/>
    <w:link w:val="TextocomentarioCar"/>
    <w:uiPriority w:val="99"/>
    <w:qFormat/>
    <w:rsid w:val="009214BB"/>
    <w:rPr>
      <w:sz w:val="20"/>
      <w:szCs w:val="20"/>
    </w:rPr>
  </w:style>
  <w:style w:type="paragraph" w:styleId="Asuntodelcomentario">
    <w:name w:val="annotation subject"/>
    <w:basedOn w:val="Textocomentario"/>
    <w:semiHidden/>
    <w:qFormat/>
    <w:rsid w:val="009214BB"/>
    <w:rPr>
      <w:b/>
      <w:bCs/>
    </w:rPr>
  </w:style>
  <w:style w:type="paragraph" w:styleId="Textodeglobo">
    <w:name w:val="Balloon Text"/>
    <w:basedOn w:val="Normal"/>
    <w:semiHidden/>
    <w:qFormat/>
    <w:rsid w:val="009214BB"/>
    <w:rPr>
      <w:rFonts w:ascii="Tahoma" w:hAnsi="Tahoma" w:cs="Tahoma"/>
      <w:sz w:val="16"/>
      <w:szCs w:val="16"/>
    </w:rPr>
  </w:style>
  <w:style w:type="paragraph" w:customStyle="1" w:styleId="Encabezadodelndice">
    <w:name w:val="Encabezado del índice"/>
    <w:basedOn w:val="Encabezado1"/>
    <w:next w:val="Normal"/>
    <w:uiPriority w:val="39"/>
    <w:qFormat/>
    <w:rsid w:val="00734A97"/>
    <w:pPr>
      <w:keepLines/>
      <w:spacing w:before="480" w:line="276" w:lineRule="auto"/>
      <w:jc w:val="left"/>
    </w:pPr>
    <w:rPr>
      <w:rFonts w:ascii="Cambria" w:eastAsia="Times New Roman" w:hAnsi="Cambria"/>
      <w:bCs/>
      <w:color w:val="365F91"/>
      <w:szCs w:val="28"/>
      <w:lang w:eastAsia="en-US"/>
    </w:rPr>
  </w:style>
  <w:style w:type="paragraph" w:customStyle="1" w:styleId="Prrafodelista1">
    <w:name w:val="Párrafo de lista1"/>
    <w:basedOn w:val="Normal"/>
    <w:qFormat/>
    <w:rsid w:val="00B0784F"/>
    <w:pPr>
      <w:ind w:left="708"/>
    </w:pPr>
    <w:rPr>
      <w:rFonts w:eastAsia="Calibri"/>
    </w:rPr>
  </w:style>
  <w:style w:type="paragraph" w:styleId="Listaconvietas2">
    <w:name w:val="List Bullet 2"/>
    <w:basedOn w:val="Normal"/>
    <w:qFormat/>
    <w:rsid w:val="00CC046D"/>
    <w:pPr>
      <w:contextualSpacing/>
    </w:pPr>
  </w:style>
  <w:style w:type="paragraph" w:styleId="Textonotaalfinal">
    <w:name w:val="endnote text"/>
    <w:basedOn w:val="Normal"/>
    <w:link w:val="TextonotaalfinalCar"/>
    <w:qFormat/>
    <w:rsid w:val="00887B14"/>
    <w:rPr>
      <w:sz w:val="20"/>
      <w:szCs w:val="20"/>
    </w:rPr>
  </w:style>
  <w:style w:type="paragraph" w:customStyle="1" w:styleId="Notaalpie">
    <w:name w:val="Nota al pie"/>
    <w:basedOn w:val="Normal"/>
    <w:rsid w:val="00992B8F"/>
  </w:style>
  <w:style w:type="numbering" w:styleId="111111">
    <w:name w:val="Outline List 2"/>
    <w:rsid w:val="00C20AB9"/>
  </w:style>
  <w:style w:type="table" w:styleId="Tablaconcuadrcula">
    <w:name w:val="Table Grid"/>
    <w:basedOn w:val="Tablanormal"/>
    <w:rsid w:val="00751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54C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F5A6F"/>
    <w:rPr>
      <w:color w:val="00000A"/>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qFormat/>
    <w:rsid w:val="00C50344"/>
    <w:pPr>
      <w:keepNext/>
      <w:jc w:val="center"/>
      <w:outlineLvl w:val="0"/>
    </w:pPr>
    <w:rPr>
      <w:rFonts w:eastAsia="MS Mincho"/>
      <w:b/>
      <w:sz w:val="28"/>
      <w:szCs w:val="20"/>
    </w:rPr>
  </w:style>
  <w:style w:type="paragraph" w:customStyle="1" w:styleId="Encabezado2">
    <w:name w:val="Encabezado 2"/>
    <w:basedOn w:val="Normal"/>
    <w:next w:val="Normal"/>
    <w:qFormat/>
    <w:rsid w:val="00C20AB9"/>
    <w:pPr>
      <w:keepNext/>
      <w:jc w:val="both"/>
      <w:outlineLvl w:val="1"/>
    </w:pPr>
    <w:rPr>
      <w:rFonts w:eastAsia="MS Mincho"/>
      <w:color w:val="FF0000"/>
      <w:szCs w:val="20"/>
    </w:rPr>
  </w:style>
  <w:style w:type="paragraph" w:customStyle="1" w:styleId="Encabezado3">
    <w:name w:val="Encabezado 3"/>
    <w:basedOn w:val="Normal"/>
    <w:next w:val="Normal"/>
    <w:qFormat/>
    <w:rsid w:val="00C20AB9"/>
    <w:pPr>
      <w:keepNext/>
      <w:jc w:val="both"/>
      <w:outlineLvl w:val="2"/>
    </w:pPr>
    <w:rPr>
      <w:rFonts w:eastAsia="MS Mincho"/>
      <w:color w:val="FF0000"/>
      <w:szCs w:val="20"/>
    </w:rPr>
  </w:style>
  <w:style w:type="paragraph" w:customStyle="1" w:styleId="Encabezado4">
    <w:name w:val="Encabezado 4"/>
    <w:basedOn w:val="Normal"/>
    <w:next w:val="Normal"/>
    <w:qFormat/>
    <w:rsid w:val="00C20AB9"/>
    <w:pPr>
      <w:keepNext/>
      <w:spacing w:before="240" w:after="60"/>
      <w:outlineLvl w:val="3"/>
    </w:pPr>
    <w:rPr>
      <w:b/>
      <w:bCs/>
      <w:sz w:val="28"/>
      <w:szCs w:val="28"/>
    </w:rPr>
  </w:style>
  <w:style w:type="paragraph" w:customStyle="1" w:styleId="Encabezado5">
    <w:name w:val="Encabezado 5"/>
    <w:basedOn w:val="Normal"/>
    <w:next w:val="Normal"/>
    <w:qFormat/>
    <w:rsid w:val="00C20AB9"/>
    <w:pPr>
      <w:spacing w:before="240" w:after="60"/>
      <w:outlineLvl w:val="4"/>
    </w:pPr>
    <w:rPr>
      <w:b/>
      <w:bCs/>
      <w:i/>
      <w:iCs/>
      <w:sz w:val="26"/>
      <w:szCs w:val="26"/>
    </w:rPr>
  </w:style>
  <w:style w:type="paragraph" w:customStyle="1" w:styleId="Encabezado6">
    <w:name w:val="Encabezado 6"/>
    <w:basedOn w:val="Normal"/>
    <w:next w:val="Normal"/>
    <w:qFormat/>
    <w:rsid w:val="00C20AB9"/>
    <w:pPr>
      <w:keepNext/>
      <w:jc w:val="both"/>
      <w:outlineLvl w:val="5"/>
    </w:pPr>
    <w:rPr>
      <w:rFonts w:eastAsia="MS Mincho"/>
      <w:szCs w:val="20"/>
    </w:rPr>
  </w:style>
  <w:style w:type="paragraph" w:customStyle="1" w:styleId="Encabezado7">
    <w:name w:val="Encabezado 7"/>
    <w:basedOn w:val="Normal"/>
    <w:next w:val="Normal"/>
    <w:qFormat/>
    <w:rsid w:val="00C20AB9"/>
    <w:pPr>
      <w:spacing w:before="240" w:after="60"/>
      <w:outlineLvl w:val="6"/>
    </w:pPr>
  </w:style>
  <w:style w:type="paragraph" w:customStyle="1" w:styleId="Encabezado8">
    <w:name w:val="Encabezado 8"/>
    <w:basedOn w:val="Normal"/>
    <w:next w:val="Normal"/>
    <w:qFormat/>
    <w:rsid w:val="00C20AB9"/>
    <w:pPr>
      <w:spacing w:before="240" w:after="60"/>
      <w:jc w:val="both"/>
      <w:outlineLvl w:val="7"/>
    </w:pPr>
    <w:rPr>
      <w:rFonts w:eastAsia="MS Mincho"/>
      <w:i/>
      <w:iCs/>
    </w:rPr>
  </w:style>
  <w:style w:type="character" w:customStyle="1" w:styleId="EnlacedeInternet">
    <w:name w:val="Enlace de Internet"/>
    <w:uiPriority w:val="99"/>
    <w:rsid w:val="00C20AB9"/>
    <w:rPr>
      <w:color w:val="0000FF"/>
      <w:u w:val="single"/>
    </w:rPr>
  </w:style>
  <w:style w:type="character" w:styleId="Hipervnculovisitado">
    <w:name w:val="FollowedHyperlink"/>
    <w:qFormat/>
    <w:rsid w:val="00C20AB9"/>
    <w:rPr>
      <w:color w:val="800080"/>
      <w:u w:val="single"/>
    </w:rPr>
  </w:style>
  <w:style w:type="character" w:styleId="Refdenotaalpie">
    <w:name w:val="footnote reference"/>
    <w:semiHidden/>
    <w:qFormat/>
    <w:rsid w:val="00C20AB9"/>
    <w:rPr>
      <w:vertAlign w:val="superscript"/>
    </w:rPr>
  </w:style>
  <w:style w:type="character" w:styleId="Nmerodepgina">
    <w:name w:val="page number"/>
    <w:basedOn w:val="Fuentedeprrafopredeter"/>
    <w:qFormat/>
    <w:rsid w:val="00C20AB9"/>
  </w:style>
  <w:style w:type="character" w:customStyle="1" w:styleId="Destacado">
    <w:name w:val="Destacado"/>
    <w:qFormat/>
    <w:rsid w:val="00C20AB9"/>
    <w:rPr>
      <w:i/>
      <w:iCs/>
    </w:rPr>
  </w:style>
  <w:style w:type="character" w:customStyle="1" w:styleId="TtuloCar">
    <w:name w:val="Título Car"/>
    <w:link w:val="Ttulo"/>
    <w:qFormat/>
    <w:rsid w:val="00C20AB9"/>
    <w:rPr>
      <w:rFonts w:ascii="Arial" w:hAnsi="Arial"/>
      <w:b/>
      <w:sz w:val="28"/>
      <w:szCs w:val="24"/>
      <w:lang w:val="en-US" w:eastAsia="es-ES" w:bidi="ar-SA"/>
    </w:rPr>
  </w:style>
  <w:style w:type="character" w:styleId="Refdecomentario">
    <w:name w:val="annotation reference"/>
    <w:uiPriority w:val="99"/>
    <w:semiHidden/>
    <w:qFormat/>
    <w:rsid w:val="009214BB"/>
    <w:rPr>
      <w:sz w:val="16"/>
      <w:szCs w:val="16"/>
    </w:rPr>
  </w:style>
  <w:style w:type="character" w:customStyle="1" w:styleId="TextosinformatoCar">
    <w:name w:val="Texto sin formato Car"/>
    <w:link w:val="Textosinformato"/>
    <w:uiPriority w:val="99"/>
    <w:qFormat/>
    <w:rsid w:val="00F8029C"/>
    <w:rPr>
      <w:rFonts w:ascii="Courier New" w:eastAsia="MS Mincho" w:hAnsi="Courier New"/>
      <w:sz w:val="24"/>
      <w:lang w:val="es-ES" w:eastAsia="es-ES"/>
    </w:rPr>
  </w:style>
  <w:style w:type="character" w:styleId="Textoennegrita">
    <w:name w:val="Strong"/>
    <w:uiPriority w:val="99"/>
    <w:qFormat/>
    <w:rsid w:val="00236BC4"/>
    <w:rPr>
      <w:rFonts w:cs="Times New Roman"/>
      <w:b/>
      <w:bCs/>
    </w:rPr>
  </w:style>
  <w:style w:type="character" w:customStyle="1" w:styleId="PiedepginaCar">
    <w:name w:val="Pie de página Car"/>
    <w:link w:val="Piedepgina"/>
    <w:uiPriority w:val="99"/>
    <w:qFormat/>
    <w:rsid w:val="0032637D"/>
    <w:rPr>
      <w:rFonts w:eastAsia="MS Mincho"/>
      <w:sz w:val="24"/>
      <w:lang w:val="es-ES" w:eastAsia="es-ES"/>
    </w:rPr>
  </w:style>
  <w:style w:type="character" w:customStyle="1" w:styleId="ft">
    <w:name w:val="ft"/>
    <w:basedOn w:val="Fuentedeprrafopredeter"/>
    <w:qFormat/>
    <w:rsid w:val="00887D5E"/>
  </w:style>
  <w:style w:type="character" w:customStyle="1" w:styleId="st">
    <w:name w:val="st"/>
    <w:qFormat/>
    <w:rsid w:val="007256E5"/>
  </w:style>
  <w:style w:type="character" w:customStyle="1" w:styleId="st1">
    <w:name w:val="st1"/>
    <w:basedOn w:val="Fuentedeprrafopredeter"/>
    <w:qFormat/>
    <w:rsid w:val="0009576F"/>
  </w:style>
  <w:style w:type="character" w:customStyle="1" w:styleId="il">
    <w:name w:val="il"/>
    <w:qFormat/>
    <w:rsid w:val="00B615F2"/>
  </w:style>
  <w:style w:type="character" w:customStyle="1" w:styleId="TextocomentarioCar">
    <w:name w:val="Texto comentario Car"/>
    <w:basedOn w:val="Fuentedeprrafopredeter"/>
    <w:link w:val="Textocomentario"/>
    <w:uiPriority w:val="99"/>
    <w:qFormat/>
    <w:rsid w:val="00D809B3"/>
    <w:rPr>
      <w:lang w:val="es-ES" w:eastAsia="es-ES"/>
    </w:rPr>
  </w:style>
  <w:style w:type="character" w:customStyle="1" w:styleId="ams">
    <w:name w:val="ams"/>
    <w:basedOn w:val="Fuentedeprrafopredeter"/>
    <w:qFormat/>
    <w:rsid w:val="00533FB9"/>
  </w:style>
  <w:style w:type="character" w:customStyle="1" w:styleId="l3">
    <w:name w:val="l3"/>
    <w:basedOn w:val="Fuentedeprrafopredeter"/>
    <w:qFormat/>
    <w:rsid w:val="00533FB9"/>
  </w:style>
  <w:style w:type="character" w:customStyle="1" w:styleId="l8">
    <w:name w:val="l8"/>
    <w:basedOn w:val="Fuentedeprrafopredeter"/>
    <w:qFormat/>
    <w:rsid w:val="00533FB9"/>
  </w:style>
  <w:style w:type="character" w:customStyle="1" w:styleId="TextonotaalfinalCar">
    <w:name w:val="Texto nota al final Car"/>
    <w:basedOn w:val="Fuentedeprrafopredeter"/>
    <w:link w:val="Textonotaalfinal"/>
    <w:qFormat/>
    <w:rsid w:val="00887B14"/>
    <w:rPr>
      <w:lang w:val="es-ES" w:eastAsia="es-ES"/>
    </w:rPr>
  </w:style>
  <w:style w:type="character" w:styleId="Refdenotaalfinal">
    <w:name w:val="endnote reference"/>
    <w:basedOn w:val="Fuentedeprrafopredeter"/>
    <w:qFormat/>
    <w:rsid w:val="00887B14"/>
    <w:rPr>
      <w:vertAlign w:val="superscript"/>
    </w:rPr>
  </w:style>
  <w:style w:type="character" w:customStyle="1" w:styleId="im">
    <w:name w:val="im"/>
    <w:basedOn w:val="Fuentedeprrafopredeter"/>
    <w:qFormat/>
    <w:rsid w:val="000F44CA"/>
  </w:style>
  <w:style w:type="character" w:customStyle="1" w:styleId="ListLabel1">
    <w:name w:val="ListLabel 1"/>
    <w:qFormat/>
    <w:rPr>
      <w:rFonts w:ascii="Arial" w:hAnsi="Arial" w:cs="Courier New"/>
      <w:sz w:val="22"/>
    </w:rPr>
  </w:style>
  <w:style w:type="character" w:customStyle="1" w:styleId="ListLabel2">
    <w:name w:val="ListLabel 2"/>
    <w:qFormat/>
    <w:rPr>
      <w:rFonts w:ascii="Arial" w:hAnsi="Arial" w:cs="Courier New"/>
      <w:color w:val="0070C0"/>
      <w:sz w:val="22"/>
    </w:rPr>
  </w:style>
  <w:style w:type="character" w:customStyle="1" w:styleId="ListLabel3">
    <w:name w:val="ListLabel 3"/>
    <w:qFormat/>
    <w:rPr>
      <w:rFonts w:eastAsia="Times New Roman" w:cs="Arial"/>
    </w:rPr>
  </w:style>
  <w:style w:type="character" w:customStyle="1" w:styleId="ListLabel4">
    <w:name w:val="ListLabel 4"/>
    <w:qFormat/>
    <w:rPr>
      <w:sz w:val="20"/>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5">
    <w:name w:val="ListLabel 5"/>
    <w:qFormat/>
    <w:rPr>
      <w:rFonts w:ascii="Arial" w:hAnsi="Arial" w:cs="Wingdings"/>
      <w:b/>
      <w:sz w:val="22"/>
    </w:rPr>
  </w:style>
  <w:style w:type="character" w:customStyle="1" w:styleId="ListLabel6">
    <w:name w:val="ListLabel 6"/>
    <w:qFormat/>
    <w:rPr>
      <w:rFonts w:ascii="Arial" w:hAnsi="Arial" w:cs="Courier New"/>
      <w:sz w:val="22"/>
    </w:rPr>
  </w:style>
  <w:style w:type="character" w:customStyle="1" w:styleId="ListLabel7">
    <w:name w:val="ListLabel 7"/>
    <w:qFormat/>
    <w:rPr>
      <w:rFonts w:cs="Symbol"/>
    </w:rPr>
  </w:style>
  <w:style w:type="character" w:customStyle="1" w:styleId="ListLabel8">
    <w:name w:val="ListLabel 8"/>
    <w:qFormat/>
    <w:rPr>
      <w:rFonts w:ascii="Arial" w:hAnsi="Arial" w:cs="Courier New"/>
      <w:color w:val="0070C0"/>
      <w:sz w:val="22"/>
    </w:rPr>
  </w:style>
  <w:style w:type="character" w:customStyle="1" w:styleId="ListLabel9">
    <w:name w:val="ListLabel 9"/>
    <w:qFormat/>
    <w:rPr>
      <w:rFonts w:ascii="Arial" w:hAnsi="Arial" w:cs="Wingdings"/>
      <w:b/>
      <w:sz w:val="22"/>
    </w:rPr>
  </w:style>
  <w:style w:type="character" w:customStyle="1" w:styleId="ListLabel10">
    <w:name w:val="ListLabel 10"/>
    <w:qFormat/>
    <w:rPr>
      <w:rFonts w:ascii="Arial" w:hAnsi="Arial" w:cs="Courier New"/>
      <w:sz w:val="22"/>
    </w:rPr>
  </w:style>
  <w:style w:type="character" w:customStyle="1" w:styleId="ListLabel11">
    <w:name w:val="ListLabel 11"/>
    <w:qFormat/>
    <w:rPr>
      <w:rFonts w:cs="Symbol"/>
    </w:rPr>
  </w:style>
  <w:style w:type="character" w:customStyle="1" w:styleId="ListLabel12">
    <w:name w:val="ListLabel 12"/>
    <w:qFormat/>
    <w:rPr>
      <w:rFonts w:ascii="Arial" w:hAnsi="Arial" w:cs="Courier New"/>
      <w:color w:val="0070C0"/>
      <w:sz w:val="22"/>
    </w:rPr>
  </w:style>
  <w:style w:type="character" w:customStyle="1" w:styleId="ListLabel13">
    <w:name w:val="ListLabel 13"/>
    <w:qFormat/>
    <w:rPr>
      <w:rFonts w:ascii="Arial" w:hAnsi="Arial" w:cs="Wingdings"/>
      <w:b/>
      <w:sz w:val="22"/>
    </w:rPr>
  </w:style>
  <w:style w:type="character" w:customStyle="1" w:styleId="ListLabel14">
    <w:name w:val="ListLabel 14"/>
    <w:qFormat/>
    <w:rPr>
      <w:rFonts w:ascii="Arial" w:hAnsi="Arial" w:cs="Courier New"/>
      <w:sz w:val="22"/>
    </w:rPr>
  </w:style>
  <w:style w:type="character" w:customStyle="1" w:styleId="ListLabel15">
    <w:name w:val="ListLabel 15"/>
    <w:qFormat/>
    <w:rPr>
      <w:rFonts w:cs="Symbol"/>
    </w:rPr>
  </w:style>
  <w:style w:type="character" w:customStyle="1" w:styleId="ListLabel16">
    <w:name w:val="ListLabel 16"/>
    <w:qFormat/>
    <w:rPr>
      <w:rFonts w:ascii="Arial" w:hAnsi="Arial" w:cs="Courier New"/>
      <w:color w:val="0070C0"/>
      <w:sz w:val="22"/>
    </w:rPr>
  </w:style>
  <w:style w:type="character" w:customStyle="1" w:styleId="ListLabel17">
    <w:name w:val="ListLabel 17"/>
    <w:qFormat/>
    <w:rPr>
      <w:rFonts w:ascii="Arial" w:hAnsi="Arial" w:cs="Wingdings"/>
      <w:b/>
      <w:sz w:val="22"/>
    </w:rPr>
  </w:style>
  <w:style w:type="character" w:customStyle="1" w:styleId="ListLabel18">
    <w:name w:val="ListLabel 18"/>
    <w:qFormat/>
    <w:rPr>
      <w:rFonts w:ascii="Arial" w:hAnsi="Arial" w:cs="Courier New"/>
      <w:sz w:val="22"/>
    </w:rPr>
  </w:style>
  <w:style w:type="character" w:customStyle="1" w:styleId="ListLabel19">
    <w:name w:val="ListLabel 19"/>
    <w:qFormat/>
    <w:rPr>
      <w:rFonts w:cs="Symbol"/>
    </w:rPr>
  </w:style>
  <w:style w:type="character" w:customStyle="1" w:styleId="ListLabel20">
    <w:name w:val="ListLabel 20"/>
    <w:qFormat/>
    <w:rPr>
      <w:rFonts w:ascii="Arial" w:hAnsi="Arial" w:cs="Courier New"/>
      <w:color w:val="0070C0"/>
      <w:sz w:val="22"/>
    </w:rPr>
  </w:style>
  <w:style w:type="character" w:customStyle="1" w:styleId="ListLabel21">
    <w:name w:val="ListLabel 21"/>
    <w:qFormat/>
    <w:rPr>
      <w:rFonts w:ascii="Arial" w:hAnsi="Arial" w:cs="Wingdings"/>
      <w:b/>
      <w:sz w:val="22"/>
    </w:rPr>
  </w:style>
  <w:style w:type="character" w:customStyle="1" w:styleId="ListLabel22">
    <w:name w:val="ListLabel 22"/>
    <w:qFormat/>
    <w:rPr>
      <w:rFonts w:ascii="Arial" w:hAnsi="Arial" w:cs="Courier New"/>
      <w:sz w:val="22"/>
    </w:rPr>
  </w:style>
  <w:style w:type="character" w:customStyle="1" w:styleId="ListLabel23">
    <w:name w:val="ListLabel 23"/>
    <w:qFormat/>
    <w:rPr>
      <w:rFonts w:cs="Symbol"/>
    </w:rPr>
  </w:style>
  <w:style w:type="character" w:customStyle="1" w:styleId="ListLabel24">
    <w:name w:val="ListLabel 24"/>
    <w:qFormat/>
    <w:rPr>
      <w:rFonts w:ascii="Arial" w:hAnsi="Arial" w:cs="Courier New"/>
      <w:color w:val="0070C0"/>
      <w:sz w:val="22"/>
    </w:rPr>
  </w:style>
  <w:style w:type="paragraph" w:styleId="Encabezado">
    <w:name w:val="header"/>
    <w:basedOn w:val="Normal"/>
    <w:next w:val="Cuerpodetexto"/>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rsid w:val="00C20AB9"/>
    <w:pPr>
      <w:spacing w:after="120"/>
    </w:pPr>
  </w:style>
  <w:style w:type="paragraph" w:styleId="Lista">
    <w:name w:val="List"/>
    <w:basedOn w:val="Cuerpodetexto"/>
    <w:rPr>
      <w:rFonts w:cs="FreeSans"/>
    </w:rPr>
  </w:style>
  <w:style w:type="paragraph" w:customStyle="1" w:styleId="Leyenda">
    <w:name w:val="Leyenda"/>
    <w:basedOn w:val="Normal"/>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customStyle="1" w:styleId="Encabezamiento">
    <w:name w:val="Encabezamiento"/>
    <w:basedOn w:val="Normal"/>
    <w:rsid w:val="00C20AB9"/>
    <w:pPr>
      <w:tabs>
        <w:tab w:val="center" w:pos="4252"/>
        <w:tab w:val="right" w:pos="8504"/>
      </w:tabs>
      <w:jc w:val="both"/>
    </w:pPr>
    <w:rPr>
      <w:rFonts w:eastAsia="MS Mincho"/>
      <w:szCs w:val="20"/>
    </w:rPr>
  </w:style>
  <w:style w:type="paragraph" w:styleId="Textoindependiente2">
    <w:name w:val="Body Text 2"/>
    <w:basedOn w:val="Normal"/>
    <w:qFormat/>
    <w:rsid w:val="00C50344"/>
    <w:pPr>
      <w:jc w:val="both"/>
    </w:pPr>
    <w:rPr>
      <w:rFonts w:eastAsia="MS Mincho"/>
      <w:b/>
      <w:szCs w:val="20"/>
    </w:rPr>
  </w:style>
  <w:style w:type="paragraph" w:styleId="Ttulo">
    <w:name w:val="Title"/>
    <w:basedOn w:val="Normal"/>
    <w:link w:val="TtuloCar"/>
    <w:qFormat/>
    <w:rsid w:val="00C50344"/>
    <w:pPr>
      <w:spacing w:line="360" w:lineRule="auto"/>
      <w:jc w:val="center"/>
    </w:pPr>
    <w:rPr>
      <w:rFonts w:ascii="Arial" w:hAnsi="Arial"/>
      <w:b/>
      <w:sz w:val="28"/>
      <w:lang w:val="en-US"/>
    </w:rPr>
  </w:style>
  <w:style w:type="paragraph" w:customStyle="1" w:styleId="Cuerpodetextoconsangra">
    <w:name w:val="Cuerpo de texto con sangría"/>
    <w:basedOn w:val="Normal"/>
    <w:rsid w:val="00C50344"/>
    <w:pPr>
      <w:spacing w:line="360" w:lineRule="auto"/>
      <w:ind w:left="283"/>
      <w:jc w:val="both"/>
    </w:pPr>
    <w:rPr>
      <w:rFonts w:ascii="Arial" w:hAnsi="Arial"/>
      <w:lang w:val="en-US"/>
    </w:rPr>
  </w:style>
  <w:style w:type="paragraph" w:customStyle="1" w:styleId="Textoindependiente21">
    <w:name w:val="Texto independiente 21"/>
    <w:basedOn w:val="Normal"/>
    <w:qFormat/>
    <w:rsid w:val="00C50344"/>
    <w:pPr>
      <w:ind w:left="497" w:hanging="497"/>
      <w:jc w:val="both"/>
    </w:pPr>
    <w:rPr>
      <w:rFonts w:eastAsia="MS Mincho"/>
      <w:szCs w:val="20"/>
      <w:lang w:val="es-CR"/>
    </w:rPr>
  </w:style>
  <w:style w:type="paragraph" w:styleId="Textoindependiente3">
    <w:name w:val="Body Text 3"/>
    <w:basedOn w:val="Normal"/>
    <w:qFormat/>
    <w:rsid w:val="00C20AB9"/>
    <w:pPr>
      <w:spacing w:after="120"/>
    </w:pPr>
    <w:rPr>
      <w:sz w:val="16"/>
      <w:szCs w:val="16"/>
    </w:rPr>
  </w:style>
  <w:style w:type="paragraph" w:styleId="Textosinformato">
    <w:name w:val="Plain Text"/>
    <w:basedOn w:val="Normal"/>
    <w:link w:val="TextosinformatoCar"/>
    <w:uiPriority w:val="99"/>
    <w:qFormat/>
    <w:rsid w:val="00C20AB9"/>
    <w:pPr>
      <w:jc w:val="both"/>
    </w:pPr>
    <w:rPr>
      <w:rFonts w:ascii="Courier New" w:eastAsia="MS Mincho" w:hAnsi="Courier New"/>
      <w:szCs w:val="20"/>
    </w:rPr>
  </w:style>
  <w:style w:type="paragraph" w:customStyle="1" w:styleId="Sangra2detindependiente1">
    <w:name w:val="Sangría 2 de t. independiente1"/>
    <w:basedOn w:val="Normal"/>
    <w:qFormat/>
    <w:rsid w:val="00C20AB9"/>
    <w:pPr>
      <w:ind w:left="355" w:hanging="355"/>
      <w:jc w:val="both"/>
    </w:pPr>
    <w:rPr>
      <w:rFonts w:eastAsia="MS Mincho"/>
      <w:szCs w:val="20"/>
      <w:lang w:val="es-CR"/>
    </w:rPr>
  </w:style>
  <w:style w:type="paragraph" w:customStyle="1" w:styleId="xl24">
    <w:name w:val="xl24"/>
    <w:basedOn w:val="Normal"/>
    <w:qFormat/>
    <w:rsid w:val="00C20AB9"/>
    <w:pPr>
      <w:spacing w:beforeAutospacing="1" w:afterAutospacing="1"/>
      <w:jc w:val="both"/>
      <w:textAlignment w:val="center"/>
    </w:pPr>
    <w:rPr>
      <w:rFonts w:eastAsia="MS Mincho"/>
      <w:b/>
      <w:bCs/>
    </w:rPr>
  </w:style>
  <w:style w:type="paragraph" w:customStyle="1" w:styleId="xl25">
    <w:name w:val="xl25"/>
    <w:basedOn w:val="Normal"/>
    <w:qFormat/>
    <w:rsid w:val="00C20AB9"/>
    <w:pPr>
      <w:spacing w:beforeAutospacing="1" w:afterAutospacing="1"/>
      <w:jc w:val="center"/>
      <w:textAlignment w:val="center"/>
    </w:pPr>
    <w:rPr>
      <w:rFonts w:eastAsia="MS Mincho"/>
      <w:b/>
      <w:bCs/>
    </w:rPr>
  </w:style>
  <w:style w:type="paragraph" w:customStyle="1" w:styleId="xl26">
    <w:name w:val="xl26"/>
    <w:basedOn w:val="Normal"/>
    <w:qFormat/>
    <w:rsid w:val="00C20AB9"/>
    <w:pPr>
      <w:spacing w:beforeAutospacing="1" w:afterAutospacing="1"/>
      <w:jc w:val="center"/>
      <w:textAlignment w:val="center"/>
    </w:pPr>
    <w:rPr>
      <w:rFonts w:eastAsia="MS Mincho"/>
      <w:b/>
      <w:bCs/>
    </w:rPr>
  </w:style>
  <w:style w:type="paragraph" w:customStyle="1" w:styleId="xl27">
    <w:name w:val="xl27"/>
    <w:basedOn w:val="Normal"/>
    <w:qFormat/>
    <w:rsid w:val="00C20AB9"/>
    <w:pPr>
      <w:spacing w:beforeAutospacing="1" w:afterAutospacing="1"/>
      <w:jc w:val="both"/>
      <w:textAlignment w:val="center"/>
    </w:pPr>
    <w:rPr>
      <w:rFonts w:eastAsia="MS Mincho"/>
      <w:b/>
      <w:bCs/>
    </w:rPr>
  </w:style>
  <w:style w:type="paragraph" w:customStyle="1" w:styleId="xl28">
    <w:name w:val="xl28"/>
    <w:basedOn w:val="Normal"/>
    <w:qFormat/>
    <w:rsid w:val="00C20AB9"/>
    <w:pPr>
      <w:spacing w:beforeAutospacing="1" w:afterAutospacing="1"/>
      <w:jc w:val="both"/>
      <w:textAlignment w:val="center"/>
    </w:pPr>
    <w:rPr>
      <w:rFonts w:eastAsia="MS Mincho"/>
    </w:rPr>
  </w:style>
  <w:style w:type="paragraph" w:customStyle="1" w:styleId="xl29">
    <w:name w:val="xl29"/>
    <w:basedOn w:val="Normal"/>
    <w:qFormat/>
    <w:rsid w:val="00C20AB9"/>
    <w:pPr>
      <w:spacing w:beforeAutospacing="1" w:afterAutospacing="1"/>
      <w:jc w:val="right"/>
      <w:textAlignment w:val="center"/>
    </w:pPr>
    <w:rPr>
      <w:rFonts w:eastAsia="MS Mincho"/>
      <w:b/>
      <w:bCs/>
    </w:rPr>
  </w:style>
  <w:style w:type="paragraph" w:customStyle="1" w:styleId="xl30">
    <w:name w:val="xl30"/>
    <w:basedOn w:val="Normal"/>
    <w:qFormat/>
    <w:rsid w:val="00C20AB9"/>
    <w:pPr>
      <w:spacing w:beforeAutospacing="1" w:afterAutospacing="1"/>
      <w:jc w:val="both"/>
      <w:textAlignment w:val="center"/>
    </w:pPr>
    <w:rPr>
      <w:rFonts w:eastAsia="MS Mincho"/>
      <w:i/>
      <w:iCs/>
    </w:rPr>
  </w:style>
  <w:style w:type="paragraph" w:customStyle="1" w:styleId="xl31">
    <w:name w:val="xl31"/>
    <w:basedOn w:val="Normal"/>
    <w:qFormat/>
    <w:rsid w:val="00C20AB9"/>
    <w:pPr>
      <w:spacing w:beforeAutospacing="1" w:afterAutospacing="1"/>
      <w:jc w:val="both"/>
      <w:textAlignment w:val="center"/>
    </w:pPr>
    <w:rPr>
      <w:rFonts w:eastAsia="MS Mincho"/>
      <w:i/>
      <w:iCs/>
    </w:rPr>
  </w:style>
  <w:style w:type="paragraph" w:customStyle="1" w:styleId="xl32">
    <w:name w:val="xl32"/>
    <w:basedOn w:val="Normal"/>
    <w:qFormat/>
    <w:rsid w:val="00C20AB9"/>
    <w:pPr>
      <w:spacing w:beforeAutospacing="1" w:afterAutospacing="1"/>
      <w:jc w:val="both"/>
      <w:textAlignment w:val="center"/>
    </w:pPr>
    <w:rPr>
      <w:rFonts w:eastAsia="MS Mincho"/>
    </w:rPr>
  </w:style>
  <w:style w:type="paragraph" w:customStyle="1" w:styleId="xl33">
    <w:name w:val="xl33"/>
    <w:basedOn w:val="Normal"/>
    <w:qFormat/>
    <w:rsid w:val="00C20AB9"/>
    <w:pPr>
      <w:pBdr>
        <w:bottom w:val="single" w:sz="12" w:space="0" w:color="00000A"/>
      </w:pBdr>
      <w:spacing w:beforeAutospacing="1" w:afterAutospacing="1"/>
      <w:jc w:val="both"/>
      <w:textAlignment w:val="center"/>
    </w:pPr>
    <w:rPr>
      <w:rFonts w:eastAsia="MS Mincho"/>
    </w:rPr>
  </w:style>
  <w:style w:type="paragraph" w:customStyle="1" w:styleId="xl34">
    <w:name w:val="xl34"/>
    <w:basedOn w:val="Normal"/>
    <w:qFormat/>
    <w:rsid w:val="00C20AB9"/>
    <w:pPr>
      <w:pBdr>
        <w:bottom w:val="single" w:sz="12" w:space="0" w:color="00000A"/>
      </w:pBdr>
      <w:spacing w:beforeAutospacing="1" w:afterAutospacing="1"/>
      <w:jc w:val="both"/>
      <w:textAlignment w:val="center"/>
    </w:pPr>
    <w:rPr>
      <w:rFonts w:eastAsia="MS Mincho"/>
    </w:rPr>
  </w:style>
  <w:style w:type="paragraph" w:customStyle="1" w:styleId="xl35">
    <w:name w:val="xl35"/>
    <w:basedOn w:val="Normal"/>
    <w:qFormat/>
    <w:rsid w:val="00C20AB9"/>
    <w:pPr>
      <w:pBdr>
        <w:top w:val="single" w:sz="12" w:space="0" w:color="00000A"/>
        <w:bottom w:val="single" w:sz="8" w:space="0" w:color="00000A"/>
      </w:pBdr>
      <w:spacing w:beforeAutospacing="1" w:afterAutospacing="1"/>
      <w:jc w:val="right"/>
      <w:textAlignment w:val="center"/>
    </w:pPr>
    <w:rPr>
      <w:rFonts w:eastAsia="MS Mincho"/>
      <w:b/>
      <w:bCs/>
    </w:rPr>
  </w:style>
  <w:style w:type="paragraph" w:customStyle="1" w:styleId="xl36">
    <w:name w:val="xl36"/>
    <w:basedOn w:val="Normal"/>
    <w:qFormat/>
    <w:rsid w:val="00C20AB9"/>
    <w:pPr>
      <w:pBdr>
        <w:top w:val="single" w:sz="12" w:space="0" w:color="00000A"/>
        <w:bottom w:val="single" w:sz="8" w:space="0" w:color="00000A"/>
      </w:pBdr>
      <w:spacing w:beforeAutospacing="1" w:afterAutospacing="1"/>
      <w:jc w:val="right"/>
      <w:textAlignment w:val="center"/>
    </w:pPr>
    <w:rPr>
      <w:rFonts w:eastAsia="MS Mincho"/>
      <w:b/>
      <w:bCs/>
    </w:rPr>
  </w:style>
  <w:style w:type="paragraph" w:customStyle="1" w:styleId="xl37">
    <w:name w:val="xl37"/>
    <w:basedOn w:val="Normal"/>
    <w:qFormat/>
    <w:rsid w:val="00C20AB9"/>
    <w:pPr>
      <w:pBdr>
        <w:top w:val="single" w:sz="12" w:space="0" w:color="00000A"/>
        <w:bottom w:val="single" w:sz="8" w:space="0" w:color="00000A"/>
        <w:right w:val="single" w:sz="8" w:space="0" w:color="00000A"/>
      </w:pBdr>
      <w:spacing w:beforeAutospacing="1" w:afterAutospacing="1"/>
      <w:jc w:val="center"/>
      <w:textAlignment w:val="center"/>
    </w:pPr>
    <w:rPr>
      <w:rFonts w:eastAsia="MS Mincho"/>
      <w:b/>
      <w:bCs/>
    </w:rPr>
  </w:style>
  <w:style w:type="paragraph" w:customStyle="1" w:styleId="xl38">
    <w:name w:val="xl38"/>
    <w:basedOn w:val="Normal"/>
    <w:qFormat/>
    <w:rsid w:val="00C20AB9"/>
    <w:pPr>
      <w:spacing w:beforeAutospacing="1" w:afterAutospacing="1"/>
      <w:jc w:val="both"/>
      <w:textAlignment w:val="center"/>
    </w:pPr>
    <w:rPr>
      <w:rFonts w:eastAsia="MS Mincho"/>
      <w:b/>
      <w:bCs/>
    </w:rPr>
  </w:style>
  <w:style w:type="paragraph" w:styleId="Piedepgina">
    <w:name w:val="footer"/>
    <w:basedOn w:val="Normal"/>
    <w:link w:val="PiedepginaCar"/>
    <w:uiPriority w:val="99"/>
    <w:rsid w:val="00C20AB9"/>
    <w:pPr>
      <w:tabs>
        <w:tab w:val="center" w:pos="4252"/>
        <w:tab w:val="right" w:pos="8504"/>
      </w:tabs>
      <w:jc w:val="both"/>
    </w:pPr>
    <w:rPr>
      <w:rFonts w:eastAsia="MS Mincho"/>
      <w:szCs w:val="20"/>
    </w:rPr>
  </w:style>
  <w:style w:type="paragraph" w:styleId="Textonotapie">
    <w:name w:val="footnote text"/>
    <w:basedOn w:val="Normal"/>
    <w:semiHidden/>
    <w:qFormat/>
    <w:rsid w:val="00C20AB9"/>
    <w:pPr>
      <w:jc w:val="both"/>
    </w:pPr>
    <w:rPr>
      <w:rFonts w:eastAsia="MS Mincho"/>
      <w:szCs w:val="20"/>
    </w:rPr>
  </w:style>
  <w:style w:type="paragraph" w:styleId="Epgrafe">
    <w:name w:val="caption"/>
    <w:basedOn w:val="Normal"/>
    <w:next w:val="Normal"/>
    <w:qFormat/>
    <w:rsid w:val="00C20AB9"/>
    <w:pPr>
      <w:spacing w:before="120" w:after="120"/>
      <w:jc w:val="both"/>
    </w:pPr>
    <w:rPr>
      <w:rFonts w:eastAsia="MS Mincho"/>
      <w:b/>
      <w:bCs/>
      <w:szCs w:val="20"/>
    </w:rPr>
  </w:style>
  <w:style w:type="paragraph" w:styleId="ndice1">
    <w:name w:val="index 1"/>
    <w:basedOn w:val="Normal"/>
    <w:next w:val="Normal"/>
    <w:autoRedefine/>
    <w:uiPriority w:val="39"/>
    <w:qFormat/>
    <w:rsid w:val="00356E52"/>
    <w:pPr>
      <w:tabs>
        <w:tab w:val="right" w:leader="dot" w:pos="8789"/>
      </w:tabs>
      <w:spacing w:line="480" w:lineRule="auto"/>
      <w:ind w:right="431"/>
      <w:jc w:val="both"/>
    </w:pPr>
    <w:rPr>
      <w:rFonts w:ascii="Arial" w:hAnsi="Arial" w:cs="Arial"/>
      <w:b/>
      <w:bCs/>
      <w:caps/>
      <w:sz w:val="20"/>
      <w:szCs w:val="20"/>
    </w:rPr>
  </w:style>
  <w:style w:type="paragraph" w:styleId="ndice2">
    <w:name w:val="index 2"/>
    <w:basedOn w:val="Normal"/>
    <w:next w:val="Normal"/>
    <w:autoRedefine/>
    <w:uiPriority w:val="39"/>
    <w:qFormat/>
    <w:rsid w:val="00E4032F"/>
    <w:pPr>
      <w:tabs>
        <w:tab w:val="right" w:leader="dot" w:pos="8931"/>
      </w:tabs>
      <w:spacing w:line="480" w:lineRule="auto"/>
      <w:ind w:right="431"/>
      <w:jc w:val="both"/>
    </w:pPr>
    <w:rPr>
      <w:rFonts w:ascii="Arial" w:hAnsi="Arial" w:cs="Arial"/>
      <w:smallCaps/>
    </w:rPr>
  </w:style>
  <w:style w:type="paragraph" w:styleId="ndice3">
    <w:name w:val="index 3"/>
    <w:basedOn w:val="Normal"/>
    <w:next w:val="Normal"/>
    <w:autoRedefine/>
    <w:uiPriority w:val="39"/>
    <w:qFormat/>
    <w:rsid w:val="00E4032F"/>
    <w:pPr>
      <w:tabs>
        <w:tab w:val="right" w:leader="dot" w:pos="8647"/>
      </w:tabs>
      <w:spacing w:line="360" w:lineRule="auto"/>
      <w:ind w:right="431" w:firstLine="288"/>
      <w:jc w:val="right"/>
    </w:pPr>
    <w:rPr>
      <w:rFonts w:ascii="Arial" w:hAnsi="Arial" w:cs="Arial"/>
      <w:i/>
      <w:iCs/>
    </w:rPr>
  </w:style>
  <w:style w:type="paragraph" w:styleId="ndice4">
    <w:name w:val="index 4"/>
    <w:basedOn w:val="Normal"/>
    <w:next w:val="Normal"/>
    <w:autoRedefine/>
    <w:semiHidden/>
    <w:qFormat/>
    <w:rsid w:val="00C20AB9"/>
    <w:pPr>
      <w:ind w:left="720"/>
    </w:pPr>
    <w:rPr>
      <w:sz w:val="18"/>
      <w:szCs w:val="18"/>
    </w:rPr>
  </w:style>
  <w:style w:type="paragraph" w:styleId="ndice5">
    <w:name w:val="index 5"/>
    <w:basedOn w:val="Normal"/>
    <w:next w:val="Normal"/>
    <w:autoRedefine/>
    <w:semiHidden/>
    <w:qFormat/>
    <w:rsid w:val="00C20AB9"/>
    <w:pPr>
      <w:ind w:left="960"/>
    </w:pPr>
    <w:rPr>
      <w:sz w:val="18"/>
      <w:szCs w:val="18"/>
    </w:rPr>
  </w:style>
  <w:style w:type="paragraph" w:styleId="ndice6">
    <w:name w:val="index 6"/>
    <w:basedOn w:val="Normal"/>
    <w:next w:val="Normal"/>
    <w:autoRedefine/>
    <w:semiHidden/>
    <w:qFormat/>
    <w:rsid w:val="00C20AB9"/>
    <w:pPr>
      <w:ind w:left="1200"/>
    </w:pPr>
    <w:rPr>
      <w:sz w:val="18"/>
      <w:szCs w:val="18"/>
    </w:rPr>
  </w:style>
  <w:style w:type="paragraph" w:styleId="ndice7">
    <w:name w:val="index 7"/>
    <w:basedOn w:val="Normal"/>
    <w:next w:val="Normal"/>
    <w:autoRedefine/>
    <w:semiHidden/>
    <w:qFormat/>
    <w:rsid w:val="00C20AB9"/>
    <w:pPr>
      <w:ind w:left="1440"/>
    </w:pPr>
    <w:rPr>
      <w:sz w:val="18"/>
      <w:szCs w:val="18"/>
    </w:rPr>
  </w:style>
  <w:style w:type="paragraph" w:styleId="ndice8">
    <w:name w:val="index 8"/>
    <w:basedOn w:val="Normal"/>
    <w:next w:val="Normal"/>
    <w:autoRedefine/>
    <w:semiHidden/>
    <w:qFormat/>
    <w:rsid w:val="00C20AB9"/>
    <w:pPr>
      <w:ind w:left="1680"/>
    </w:pPr>
    <w:rPr>
      <w:sz w:val="18"/>
      <w:szCs w:val="18"/>
    </w:rPr>
  </w:style>
  <w:style w:type="paragraph" w:styleId="ndice9">
    <w:name w:val="index 9"/>
    <w:basedOn w:val="Normal"/>
    <w:next w:val="Normal"/>
    <w:autoRedefine/>
    <w:semiHidden/>
    <w:qFormat/>
    <w:rsid w:val="00C20AB9"/>
    <w:pPr>
      <w:ind w:left="1920"/>
    </w:pPr>
    <w:rPr>
      <w:sz w:val="18"/>
      <w:szCs w:val="18"/>
    </w:rPr>
  </w:style>
  <w:style w:type="paragraph" w:customStyle="1" w:styleId="Titulo1">
    <w:name w:val="Titulo 1"/>
    <w:basedOn w:val="Encabezado1"/>
    <w:qFormat/>
    <w:rsid w:val="00C20AB9"/>
    <w:pPr>
      <w:spacing w:line="360" w:lineRule="auto"/>
    </w:pPr>
  </w:style>
  <w:style w:type="paragraph" w:customStyle="1" w:styleId="Titulo2">
    <w:name w:val="Titulo 2"/>
    <w:basedOn w:val="Normal"/>
    <w:qFormat/>
    <w:rsid w:val="00C20AB9"/>
    <w:pPr>
      <w:jc w:val="center"/>
    </w:pPr>
    <w:rPr>
      <w:rFonts w:eastAsia="MS Mincho"/>
      <w:b/>
      <w:bCs/>
      <w:i/>
      <w:iCs/>
      <w:szCs w:val="20"/>
    </w:rPr>
  </w:style>
  <w:style w:type="paragraph" w:customStyle="1" w:styleId="Normal1">
    <w:name w:val="Normal1"/>
    <w:basedOn w:val="Encabezado1"/>
    <w:qFormat/>
    <w:rsid w:val="00C20AB9"/>
    <w:rPr>
      <w:i/>
    </w:rPr>
  </w:style>
  <w:style w:type="paragraph" w:customStyle="1" w:styleId="estilo29">
    <w:name w:val="estilo29"/>
    <w:basedOn w:val="Normal"/>
    <w:qFormat/>
    <w:rsid w:val="00C20AB9"/>
    <w:pPr>
      <w:spacing w:beforeAutospacing="1" w:afterAutospacing="1"/>
    </w:pPr>
    <w:rPr>
      <w:rFonts w:ascii="Arial" w:hAnsi="Arial" w:cs="Arial"/>
      <w:sz w:val="21"/>
      <w:szCs w:val="21"/>
    </w:rPr>
  </w:style>
  <w:style w:type="paragraph" w:styleId="NormalWeb">
    <w:name w:val="Normal (Web)"/>
    <w:basedOn w:val="Normal"/>
    <w:qFormat/>
    <w:rsid w:val="00C20AB9"/>
    <w:pPr>
      <w:spacing w:beforeAutospacing="1" w:afterAutospacing="1"/>
    </w:pPr>
  </w:style>
  <w:style w:type="paragraph" w:styleId="Prrafodelista">
    <w:name w:val="List Paragraph"/>
    <w:basedOn w:val="Normal"/>
    <w:uiPriority w:val="34"/>
    <w:qFormat/>
    <w:rsid w:val="00C20AB9"/>
    <w:pPr>
      <w:ind w:left="720"/>
      <w:contextualSpacing/>
      <w:jc w:val="both"/>
    </w:pPr>
    <w:rPr>
      <w:rFonts w:eastAsia="MS Mincho"/>
      <w:szCs w:val="20"/>
    </w:rPr>
  </w:style>
  <w:style w:type="paragraph" w:styleId="Textocomentario">
    <w:name w:val="annotation text"/>
    <w:basedOn w:val="Normal"/>
    <w:link w:val="TextocomentarioCar"/>
    <w:uiPriority w:val="99"/>
    <w:qFormat/>
    <w:rsid w:val="009214BB"/>
    <w:rPr>
      <w:sz w:val="20"/>
      <w:szCs w:val="20"/>
    </w:rPr>
  </w:style>
  <w:style w:type="paragraph" w:styleId="Asuntodelcomentario">
    <w:name w:val="annotation subject"/>
    <w:basedOn w:val="Textocomentario"/>
    <w:semiHidden/>
    <w:qFormat/>
    <w:rsid w:val="009214BB"/>
    <w:rPr>
      <w:b/>
      <w:bCs/>
    </w:rPr>
  </w:style>
  <w:style w:type="paragraph" w:styleId="Textodeglobo">
    <w:name w:val="Balloon Text"/>
    <w:basedOn w:val="Normal"/>
    <w:semiHidden/>
    <w:qFormat/>
    <w:rsid w:val="009214BB"/>
    <w:rPr>
      <w:rFonts w:ascii="Tahoma" w:hAnsi="Tahoma" w:cs="Tahoma"/>
      <w:sz w:val="16"/>
      <w:szCs w:val="16"/>
    </w:rPr>
  </w:style>
  <w:style w:type="paragraph" w:customStyle="1" w:styleId="Encabezadodelndice">
    <w:name w:val="Encabezado del índice"/>
    <w:basedOn w:val="Encabezado1"/>
    <w:next w:val="Normal"/>
    <w:uiPriority w:val="39"/>
    <w:qFormat/>
    <w:rsid w:val="00734A97"/>
    <w:pPr>
      <w:keepLines/>
      <w:spacing w:before="480" w:line="276" w:lineRule="auto"/>
      <w:jc w:val="left"/>
    </w:pPr>
    <w:rPr>
      <w:rFonts w:ascii="Cambria" w:eastAsia="Times New Roman" w:hAnsi="Cambria"/>
      <w:bCs/>
      <w:color w:val="365F91"/>
      <w:szCs w:val="28"/>
      <w:lang w:eastAsia="en-US"/>
    </w:rPr>
  </w:style>
  <w:style w:type="paragraph" w:customStyle="1" w:styleId="Prrafodelista1">
    <w:name w:val="Párrafo de lista1"/>
    <w:basedOn w:val="Normal"/>
    <w:qFormat/>
    <w:rsid w:val="00B0784F"/>
    <w:pPr>
      <w:ind w:left="708"/>
    </w:pPr>
    <w:rPr>
      <w:rFonts w:eastAsia="Calibri"/>
    </w:rPr>
  </w:style>
  <w:style w:type="paragraph" w:styleId="Listaconvietas2">
    <w:name w:val="List Bullet 2"/>
    <w:basedOn w:val="Normal"/>
    <w:qFormat/>
    <w:rsid w:val="00CC046D"/>
    <w:pPr>
      <w:contextualSpacing/>
    </w:pPr>
  </w:style>
  <w:style w:type="paragraph" w:styleId="Textonotaalfinal">
    <w:name w:val="endnote text"/>
    <w:basedOn w:val="Normal"/>
    <w:link w:val="TextonotaalfinalCar"/>
    <w:qFormat/>
    <w:rsid w:val="00887B14"/>
    <w:rPr>
      <w:sz w:val="20"/>
      <w:szCs w:val="20"/>
    </w:rPr>
  </w:style>
  <w:style w:type="paragraph" w:customStyle="1" w:styleId="Notaalpie">
    <w:name w:val="Nota al pie"/>
    <w:basedOn w:val="Normal"/>
  </w:style>
  <w:style w:type="numbering" w:styleId="111111">
    <w:name w:val="Outline List 2"/>
    <w:rsid w:val="00C20AB9"/>
  </w:style>
  <w:style w:type="table" w:styleId="Tablaconcuadrcula">
    <w:name w:val="Table Grid"/>
    <w:basedOn w:val="Tablanormal"/>
    <w:rsid w:val="00751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0224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www.buscoempleo.go.c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peuna.una.ac.cr/" TargetMode="External"/><Relationship Id="rId10" Type="http://schemas.openxmlformats.org/officeDocument/2006/relationships/hyperlink" Target="http://www.apeuna.una.ac.cr/"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cgi.una.ac.cr/sppi/" TargetMode="External"/><Relationship Id="rId27" Type="http://schemas.microsoft.com/office/2007/relationships/stylesWithEffects" Target="stylesWithEffects.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perspective val="30"/>
    </c:view3D>
    <c:floor>
      <c:spPr>
        <a:noFill/>
        <a:ln w="9360">
          <a:solidFill>
            <a:srgbClr val="878787"/>
          </a:solidFill>
          <a:round/>
        </a:ln>
      </c:spPr>
    </c:floor>
    <c:backWall>
      <c:spPr>
        <a:noFill/>
        <a:ln w="9360">
          <a:solidFill>
            <a:srgbClr val="878787"/>
          </a:solidFill>
          <a:round/>
        </a:ln>
      </c:spPr>
    </c:backWall>
    <c:plotArea>
      <c:layout/>
      <c:bar3DChart>
        <c:barDir val="col"/>
        <c:grouping val="clustered"/>
        <c:ser>
          <c:idx val="0"/>
          <c:order val="0"/>
          <c:tx>
            <c:strRef>
              <c:f>label 0</c:f>
              <c:strCache>
                <c:ptCount val="1"/>
              </c:strCache>
            </c:strRef>
          </c:tx>
          <c:spPr>
            <a:solidFill>
              <a:srgbClr val="4F81BD"/>
            </a:solidFill>
            <a:ln w="9360">
              <a:solidFill>
                <a:srgbClr val="F9F9F9"/>
              </a:solidFill>
              <a:round/>
            </a:ln>
          </c:spPr>
          <c:dLbls>
            <c:dLbl>
              <c:idx val="0"/>
              <c:layout>
                <c:manualLayout>
                  <c:x val="2.4027631776542976E-2"/>
                  <c:y val="0.27321139152581631"/>
                </c:manualLayout>
              </c:layout>
              <c:showVal val="1"/>
              <c:showBubbleSize val="1"/>
            </c:dLbl>
            <c:dLbl>
              <c:idx val="1"/>
              <c:layout>
                <c:manualLayout>
                  <c:x val="3.3023225468494878E-2"/>
                  <c:y val="0.21296296296296327"/>
                </c:manualLayout>
              </c:layout>
              <c:showVal val="1"/>
              <c:showBubbleSize val="1"/>
            </c:dLbl>
            <c:numFmt formatCode="#,##0.0" sourceLinked="0"/>
            <c:txPr>
              <a:bodyPr/>
              <a:lstStyle/>
              <a:p>
                <a:pPr>
                  <a:defRPr b="1"/>
                </a:pPr>
                <a:endParaRPr lang="es-CR"/>
              </a:p>
            </c:txPr>
            <c:showVal val="1"/>
            <c:showBubbleSize val="1"/>
          </c:dLbls>
          <c:cat>
            <c:strRef>
              <c:f>categories</c:f>
              <c:strCache>
                <c:ptCount val="2"/>
                <c:pt idx="0">
                  <c:v>Presupuestado</c:v>
                </c:pt>
                <c:pt idx="1">
                  <c:v>Ejecutado</c:v>
                </c:pt>
              </c:strCache>
            </c:strRef>
          </c:cat>
          <c:val>
            <c:numRef>
              <c:f>0</c:f>
              <c:numCache>
                <c:formatCode>General</c:formatCode>
                <c:ptCount val="2"/>
                <c:pt idx="0">
                  <c:v>129324.12985868016</c:v>
                </c:pt>
                <c:pt idx="1">
                  <c:v>96422.488587699918</c:v>
                </c:pt>
              </c:numCache>
            </c:numRef>
          </c:val>
        </c:ser>
        <c:gapWidth val="60"/>
        <c:shape val="cylinder"/>
        <c:axId val="102943744"/>
        <c:axId val="102949632"/>
        <c:axId val="0"/>
      </c:bar3DChart>
      <c:catAx>
        <c:axId val="102943744"/>
        <c:scaling>
          <c:orientation val="minMax"/>
        </c:scaling>
        <c:axPos val="b"/>
        <c:numFmt formatCode="dd/mm/aaaa" sourceLinked="1"/>
        <c:tickLblPos val="nextTo"/>
        <c:spPr>
          <a:ln w="9360">
            <a:solidFill>
              <a:srgbClr val="878787"/>
            </a:solidFill>
            <a:round/>
          </a:ln>
        </c:spPr>
        <c:txPr>
          <a:bodyPr/>
          <a:lstStyle/>
          <a:p>
            <a:pPr>
              <a:defRPr sz="1000" spc="-1">
                <a:solidFill>
                  <a:srgbClr val="000000"/>
                </a:solidFill>
                <a:latin typeface="Calibri"/>
              </a:defRPr>
            </a:pPr>
            <a:endParaRPr lang="es-CR"/>
          </a:p>
        </c:txPr>
        <c:crossAx val="102949632"/>
        <c:crosses val="autoZero"/>
        <c:auto val="1"/>
        <c:lblAlgn val="ctr"/>
        <c:lblOffset val="100"/>
        <c:noMultiLvlLbl val="1"/>
      </c:catAx>
      <c:valAx>
        <c:axId val="102949632"/>
        <c:scaling>
          <c:orientation val="minMax"/>
          <c:min val="0"/>
        </c:scaling>
        <c:axPos val="l"/>
        <c:title>
          <c:tx>
            <c:rich>
              <a:bodyPr rot="-5400000"/>
              <a:lstStyle/>
              <a:p>
                <a:pPr>
                  <a:defRPr sz="1000" b="1" spc="-1">
                    <a:solidFill>
                      <a:srgbClr val="000000"/>
                    </a:solidFill>
                    <a:latin typeface="Calibri"/>
                  </a:defRPr>
                </a:pPr>
                <a:r>
                  <a:rPr lang="es-CR" sz="1000" b="1" spc="-1">
                    <a:solidFill>
                      <a:srgbClr val="000000"/>
                    </a:solidFill>
                    <a:latin typeface="Calibri"/>
                  </a:rPr>
                  <a:t>Millones de colones</a:t>
                </a:r>
              </a:p>
            </c:rich>
          </c:tx>
        </c:title>
        <c:numFmt formatCode="#&quot; &quot;##0" sourceLinked="0"/>
        <c:tickLblPos val="nextTo"/>
        <c:spPr>
          <a:ln w="9360">
            <a:solidFill>
              <a:srgbClr val="878787"/>
            </a:solidFill>
            <a:round/>
          </a:ln>
        </c:spPr>
        <c:txPr>
          <a:bodyPr/>
          <a:lstStyle/>
          <a:p>
            <a:pPr>
              <a:defRPr sz="1000" spc="-1">
                <a:solidFill>
                  <a:srgbClr val="000000"/>
                </a:solidFill>
                <a:latin typeface="Calibri"/>
              </a:defRPr>
            </a:pPr>
            <a:endParaRPr lang="es-CR"/>
          </a:p>
        </c:txPr>
        <c:crossAx val="102943744"/>
        <c:crosses val="autoZero"/>
        <c:crossBetween val="between"/>
      </c:valAx>
      <c:spPr>
        <a:noFill/>
        <a:ln w="9360">
          <a:solidFill>
            <a:srgbClr val="878787"/>
          </a:solidFill>
          <a:round/>
        </a:ln>
      </c:spPr>
    </c:plotArea>
    <c:plotVisOnly val="1"/>
    <c:dispBlanksAs val="gap"/>
    <c:showDLblsOverMax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barChart>
        <c:barDir val="col"/>
        <c:grouping val="clustered"/>
        <c:ser>
          <c:idx val="0"/>
          <c:order val="0"/>
          <c:tx>
            <c:strRef>
              <c:f>label 0</c:f>
              <c:strCache>
                <c:ptCount val="1"/>
                <c:pt idx="0">
                  <c:v>Presupuestado</c:v>
                </c:pt>
              </c:strCache>
            </c:strRef>
          </c:tx>
          <c:spPr>
            <a:solidFill>
              <a:srgbClr val="0070C0"/>
            </a:solidFill>
            <a:ln>
              <a:noFill/>
            </a:ln>
          </c:spPr>
          <c:dLbls>
            <c:dLblPos val="outEnd"/>
            <c:showBubbleSize val="1"/>
          </c:dLbls>
          <c:cat>
            <c:strRef>
              <c:f>categories</c:f>
              <c:strCache>
                <c:ptCount val="5"/>
                <c:pt idx="0">
                  <c:v>2011</c:v>
                </c:pt>
                <c:pt idx="1">
                  <c:v>2012</c:v>
                </c:pt>
                <c:pt idx="2">
                  <c:v>2013</c:v>
                </c:pt>
                <c:pt idx="3">
                  <c:v>2014</c:v>
                </c:pt>
                <c:pt idx="4">
                  <c:v>2015</c:v>
                </c:pt>
              </c:strCache>
            </c:strRef>
          </c:cat>
          <c:val>
            <c:numRef>
              <c:f>0</c:f>
              <c:numCache>
                <c:formatCode>General</c:formatCode>
                <c:ptCount val="5"/>
                <c:pt idx="0">
                  <c:v>81180.508371209915</c:v>
                </c:pt>
                <c:pt idx="1">
                  <c:v>88342.2</c:v>
                </c:pt>
                <c:pt idx="2">
                  <c:v>95357.446027819853</c:v>
                </c:pt>
                <c:pt idx="3">
                  <c:v>109217.35983679999</c:v>
                </c:pt>
                <c:pt idx="4">
                  <c:v>129324.12985868016</c:v>
                </c:pt>
              </c:numCache>
            </c:numRef>
          </c:val>
        </c:ser>
        <c:ser>
          <c:idx val="1"/>
          <c:order val="1"/>
          <c:tx>
            <c:strRef>
              <c:f>label 1</c:f>
              <c:strCache>
                <c:ptCount val="1"/>
                <c:pt idx="0">
                  <c:v>Ejecutado</c:v>
                </c:pt>
              </c:strCache>
            </c:strRef>
          </c:tx>
          <c:spPr>
            <a:solidFill>
              <a:srgbClr val="8EB4E3"/>
            </a:solidFill>
            <a:ln>
              <a:noFill/>
            </a:ln>
          </c:spPr>
          <c:dLbls>
            <c:dLblPos val="outEnd"/>
            <c:showBubbleSize val="1"/>
          </c:dLbls>
          <c:cat>
            <c:strRef>
              <c:f>categories</c:f>
              <c:strCache>
                <c:ptCount val="5"/>
                <c:pt idx="0">
                  <c:v>2011</c:v>
                </c:pt>
                <c:pt idx="1">
                  <c:v>2012</c:v>
                </c:pt>
                <c:pt idx="2">
                  <c:v>2013</c:v>
                </c:pt>
                <c:pt idx="3">
                  <c:v>2014</c:v>
                </c:pt>
                <c:pt idx="4">
                  <c:v>2015</c:v>
                </c:pt>
              </c:strCache>
            </c:strRef>
          </c:cat>
          <c:val>
            <c:numRef>
              <c:f>1</c:f>
              <c:numCache>
                <c:formatCode>General</c:formatCode>
                <c:ptCount val="5"/>
                <c:pt idx="0">
                  <c:v>66526.784703719968</c:v>
                </c:pt>
                <c:pt idx="1">
                  <c:v>74944.3</c:v>
                </c:pt>
                <c:pt idx="2">
                  <c:v>80500.977586859968</c:v>
                </c:pt>
                <c:pt idx="3">
                  <c:v>88043.595194449896</c:v>
                </c:pt>
                <c:pt idx="4">
                  <c:v>96422.488587699918</c:v>
                </c:pt>
              </c:numCache>
            </c:numRef>
          </c:val>
        </c:ser>
        <c:axId val="103559552"/>
        <c:axId val="103561088"/>
      </c:barChart>
      <c:lineChart>
        <c:grouping val="standard"/>
        <c:varyColors val="1"/>
        <c:ser>
          <c:idx val="2"/>
          <c:order val="2"/>
          <c:tx>
            <c:strRef>
              <c:f>label 2</c:f>
              <c:strCache>
                <c:ptCount val="1"/>
                <c:pt idx="0">
                  <c:v>% ejecución</c:v>
                </c:pt>
              </c:strCache>
            </c:strRef>
          </c:tx>
          <c:spPr>
            <a:ln w="15840">
              <a:solidFill>
                <a:srgbClr val="000000"/>
              </a:solidFill>
              <a:round/>
            </a:ln>
          </c:spPr>
          <c:marker>
            <c:symbol val="square"/>
            <c:size val="5"/>
            <c:spPr>
              <a:solidFill>
                <a:srgbClr val="000000"/>
              </a:solidFill>
            </c:spPr>
          </c:marker>
          <c:dLbls>
            <c:dLbl>
              <c:idx val="0"/>
              <c:layout>
                <c:manualLayout>
                  <c:x val="-5.4612481747206433E-2"/>
                  <c:y val="-4.5883763322549433E-2"/>
                </c:manualLayout>
              </c:layout>
              <c:dLblPos val="r"/>
              <c:showVal val="1"/>
              <c:showBubbleSize val="1"/>
            </c:dLbl>
            <c:dLbl>
              <c:idx val="1"/>
              <c:layout>
                <c:manualLayout>
                  <c:x val="-4.1609509902633339E-2"/>
                  <c:y val="-3.7541260900267721E-2"/>
                </c:manualLayout>
              </c:layout>
              <c:dLblPos val="r"/>
              <c:showVal val="1"/>
              <c:showBubbleSize val="1"/>
            </c:dLbl>
            <c:dLbl>
              <c:idx val="2"/>
              <c:layout>
                <c:manualLayout>
                  <c:x val="-3.9008915533718796E-2"/>
                  <c:y val="-4.5883763322549433E-2"/>
                </c:manualLayout>
              </c:layout>
              <c:dLblPos val="r"/>
              <c:showVal val="1"/>
              <c:showBubbleSize val="1"/>
            </c:dLbl>
            <c:dLbl>
              <c:idx val="3"/>
              <c:layout>
                <c:manualLayout>
                  <c:x val="-1.3002971844572934E-2"/>
                  <c:y val="-4.5883763322549433E-2"/>
                </c:manualLayout>
              </c:layout>
              <c:dLblPos val="r"/>
              <c:showVal val="1"/>
              <c:showBubbleSize val="1"/>
            </c:dLbl>
            <c:dLbl>
              <c:idx val="4"/>
              <c:layout>
                <c:manualLayout>
                  <c:x val="-2.6005943689144965E-3"/>
                  <c:y val="-3.7541260900267652E-2"/>
                </c:manualLayout>
              </c:layout>
              <c:dLblPos val="r"/>
              <c:showVal val="1"/>
              <c:showBubbleSize val="1"/>
            </c:dLbl>
            <c:numFmt formatCode="0.0%" sourceLinked="0"/>
            <c:dLblPos val="r"/>
            <c:showVal val="1"/>
            <c:showBubbleSize val="1"/>
          </c:dLbls>
          <c:cat>
            <c:strRef>
              <c:f>categories</c:f>
              <c:strCache>
                <c:ptCount val="5"/>
                <c:pt idx="0">
                  <c:v>2011</c:v>
                </c:pt>
                <c:pt idx="1">
                  <c:v>2012</c:v>
                </c:pt>
                <c:pt idx="2">
                  <c:v>2013</c:v>
                </c:pt>
                <c:pt idx="3">
                  <c:v>2014</c:v>
                </c:pt>
                <c:pt idx="4">
                  <c:v>2015</c:v>
                </c:pt>
              </c:strCache>
            </c:strRef>
          </c:cat>
          <c:val>
            <c:numRef>
              <c:f>2</c:f>
              <c:numCache>
                <c:formatCode>General</c:formatCode>
                <c:ptCount val="5"/>
                <c:pt idx="0">
                  <c:v>0.81949209284963298</c:v>
                </c:pt>
                <c:pt idx="1">
                  <c:v>0.84834088351886294</c:v>
                </c:pt>
                <c:pt idx="2">
                  <c:v>0.84420232441391396</c:v>
                </c:pt>
                <c:pt idx="3">
                  <c:v>0.80613187615971293</c:v>
                </c:pt>
                <c:pt idx="4">
                  <c:v>0.745587762261122</c:v>
                </c:pt>
              </c:numCache>
            </c:numRef>
          </c:val>
        </c:ser>
        <c:hiLowLines>
          <c:spPr>
            <a:ln>
              <a:noFill/>
            </a:ln>
          </c:spPr>
        </c:hiLowLines>
        <c:marker val="1"/>
        <c:axId val="103567360"/>
        <c:axId val="103568896"/>
      </c:lineChart>
      <c:catAx>
        <c:axId val="103559552"/>
        <c:scaling>
          <c:orientation val="minMax"/>
        </c:scaling>
        <c:axPos val="b"/>
        <c:numFmt formatCode="dd/mm/aaaa" sourceLinked="1"/>
        <c:tickLblPos val="nextTo"/>
        <c:spPr>
          <a:ln w="9360">
            <a:solidFill>
              <a:srgbClr val="878787"/>
            </a:solidFill>
            <a:round/>
          </a:ln>
        </c:spPr>
        <c:txPr>
          <a:bodyPr/>
          <a:lstStyle/>
          <a:p>
            <a:pPr>
              <a:defRPr sz="1000" spc="-1">
                <a:solidFill>
                  <a:srgbClr val="000000"/>
                </a:solidFill>
                <a:latin typeface="Calibri"/>
              </a:defRPr>
            </a:pPr>
            <a:endParaRPr lang="es-CR"/>
          </a:p>
        </c:txPr>
        <c:crossAx val="103561088"/>
        <c:crosses val="autoZero"/>
        <c:auto val="1"/>
        <c:lblAlgn val="ctr"/>
        <c:lblOffset val="100"/>
        <c:noMultiLvlLbl val="1"/>
      </c:catAx>
      <c:valAx>
        <c:axId val="103561088"/>
        <c:scaling>
          <c:orientation val="minMax"/>
          <c:min val="0"/>
        </c:scaling>
        <c:axPos val="l"/>
        <c:title>
          <c:tx>
            <c:rich>
              <a:bodyPr rot="-5400000"/>
              <a:lstStyle/>
              <a:p>
                <a:pPr>
                  <a:defRPr sz="1000" b="1" spc="-1">
                    <a:solidFill>
                      <a:srgbClr val="000000"/>
                    </a:solidFill>
                    <a:latin typeface="Calibri"/>
                  </a:defRPr>
                </a:pPr>
                <a:r>
                  <a:rPr lang="es-CR" sz="1000" b="1" spc="-1">
                    <a:solidFill>
                      <a:srgbClr val="000000"/>
                    </a:solidFill>
                    <a:latin typeface="Calibri"/>
                  </a:rPr>
                  <a:t>Millones de colones</a:t>
                </a:r>
              </a:p>
            </c:rich>
          </c:tx>
        </c:title>
        <c:numFmt formatCode="#&quot; &quot;##0" sourceLinked="0"/>
        <c:tickLblPos val="nextTo"/>
        <c:spPr>
          <a:ln w="9360">
            <a:solidFill>
              <a:srgbClr val="878787"/>
            </a:solidFill>
            <a:round/>
          </a:ln>
        </c:spPr>
        <c:txPr>
          <a:bodyPr/>
          <a:lstStyle/>
          <a:p>
            <a:pPr>
              <a:defRPr sz="1000" spc="-1">
                <a:solidFill>
                  <a:srgbClr val="000000"/>
                </a:solidFill>
                <a:latin typeface="Calibri"/>
              </a:defRPr>
            </a:pPr>
            <a:endParaRPr lang="es-CR"/>
          </a:p>
        </c:txPr>
        <c:crossAx val="103559552"/>
        <c:crossesAt val="1"/>
        <c:crossBetween val="between"/>
      </c:valAx>
      <c:catAx>
        <c:axId val="103567360"/>
        <c:scaling>
          <c:orientation val="minMax"/>
        </c:scaling>
        <c:delete val="1"/>
        <c:axPos val="b"/>
        <c:numFmt formatCode="dd/mm/aaaa" sourceLinked="1"/>
        <c:tickLblPos val="nextTo"/>
        <c:crossAx val="103568896"/>
        <c:crosses val="autoZero"/>
        <c:auto val="1"/>
        <c:lblAlgn val="ctr"/>
        <c:lblOffset val="100"/>
        <c:noMultiLvlLbl val="1"/>
      </c:catAx>
      <c:valAx>
        <c:axId val="103568896"/>
        <c:scaling>
          <c:orientation val="minMax"/>
          <c:max val="1.05"/>
          <c:min val="0.4"/>
        </c:scaling>
        <c:axPos val="r"/>
        <c:numFmt formatCode="00%" sourceLinked="0"/>
        <c:tickLblPos val="nextTo"/>
        <c:spPr>
          <a:ln w="9360">
            <a:noFill/>
          </a:ln>
        </c:spPr>
        <c:txPr>
          <a:bodyPr/>
          <a:lstStyle/>
          <a:p>
            <a:pPr>
              <a:defRPr sz="1000" spc="-1">
                <a:solidFill>
                  <a:srgbClr val="FFFFFF"/>
                </a:solidFill>
                <a:latin typeface="Calibri"/>
              </a:defRPr>
            </a:pPr>
            <a:endParaRPr lang="es-CR"/>
          </a:p>
        </c:txPr>
        <c:crossAx val="103567360"/>
        <c:crosses val="max"/>
        <c:crossBetween val="between"/>
      </c:valAx>
      <c:spPr>
        <a:solidFill>
          <a:srgbClr val="FFFFFF"/>
        </a:solidFill>
        <a:ln>
          <a:noFill/>
        </a:ln>
      </c:spPr>
    </c:plotArea>
    <c:legend>
      <c:legendPos val="b"/>
      <c:spPr>
        <a:noFill/>
        <a:ln>
          <a:noFill/>
        </a:ln>
      </c:spPr>
    </c:legend>
    <c:plotVisOnly val="1"/>
    <c:dispBlanksAs val="zero"/>
    <c:showDLblsOverMax val="1"/>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perspective val="30"/>
    </c:view3D>
    <c:floor>
      <c:spPr>
        <a:noFill/>
        <a:ln w="9360">
          <a:solidFill>
            <a:srgbClr val="878787"/>
          </a:solidFill>
          <a:round/>
        </a:ln>
      </c:spPr>
    </c:floor>
    <c:backWall>
      <c:spPr>
        <a:noFill/>
        <a:ln w="9360">
          <a:solidFill>
            <a:srgbClr val="878787"/>
          </a:solidFill>
          <a:round/>
        </a:ln>
      </c:spPr>
    </c:backWall>
    <c:plotArea>
      <c:layout/>
      <c:bar3DChart>
        <c:barDir val="col"/>
        <c:grouping val="clustered"/>
        <c:ser>
          <c:idx val="0"/>
          <c:order val="0"/>
          <c:tx>
            <c:strRef>
              <c:f>label 0</c:f>
              <c:strCache>
                <c:ptCount val="1"/>
              </c:strCache>
            </c:strRef>
          </c:tx>
          <c:spPr>
            <a:solidFill>
              <a:srgbClr val="4F81BD"/>
            </a:solidFill>
            <a:ln w="9360">
              <a:solidFill>
                <a:srgbClr val="F9F9F9"/>
              </a:solidFill>
              <a:round/>
            </a:ln>
          </c:spPr>
          <c:dLbls>
            <c:dLbl>
              <c:idx val="0"/>
              <c:layout>
                <c:manualLayout>
                  <c:x val="2.4034850533273252E-2"/>
                  <c:y val="0.30691708657810352"/>
                </c:manualLayout>
              </c:layout>
              <c:showVal val="1"/>
              <c:showBubbleSize val="1"/>
            </c:dLbl>
            <c:dLbl>
              <c:idx val="1"/>
              <c:layout>
                <c:manualLayout>
                  <c:x val="3.0021114062268046E-2"/>
                  <c:y val="0.18775161402566221"/>
                </c:manualLayout>
              </c:layout>
              <c:showVal val="1"/>
              <c:showBubbleSize val="1"/>
            </c:dLbl>
            <c:numFmt formatCode="#,##0.0" sourceLinked="0"/>
            <c:txPr>
              <a:bodyPr/>
              <a:lstStyle/>
              <a:p>
                <a:pPr>
                  <a:defRPr b="1"/>
                </a:pPr>
                <a:endParaRPr lang="es-CR"/>
              </a:p>
            </c:txPr>
            <c:showVal val="1"/>
            <c:showBubbleSize val="1"/>
          </c:dLbls>
          <c:cat>
            <c:strRef>
              <c:f>categories</c:f>
              <c:strCache>
                <c:ptCount val="2"/>
                <c:pt idx="0">
                  <c:v>Presupuestado</c:v>
                </c:pt>
                <c:pt idx="1">
                  <c:v>Ejecutado</c:v>
                </c:pt>
              </c:strCache>
            </c:strRef>
          </c:cat>
          <c:val>
            <c:numRef>
              <c:f>0</c:f>
              <c:numCache>
                <c:formatCode>General</c:formatCode>
                <c:ptCount val="2"/>
                <c:pt idx="0">
                  <c:v>75217.502566700001</c:v>
                </c:pt>
                <c:pt idx="1">
                  <c:v>54415.597820579984</c:v>
                </c:pt>
              </c:numCache>
            </c:numRef>
          </c:val>
        </c:ser>
        <c:gapWidth val="60"/>
        <c:shape val="cylinder"/>
        <c:axId val="90289664"/>
        <c:axId val="90291200"/>
        <c:axId val="0"/>
      </c:bar3DChart>
      <c:catAx>
        <c:axId val="90289664"/>
        <c:scaling>
          <c:orientation val="minMax"/>
        </c:scaling>
        <c:axPos val="b"/>
        <c:numFmt formatCode="dd/mm/aaaa" sourceLinked="1"/>
        <c:tickLblPos val="nextTo"/>
        <c:spPr>
          <a:ln w="9360">
            <a:solidFill>
              <a:srgbClr val="878787"/>
            </a:solidFill>
            <a:round/>
          </a:ln>
        </c:spPr>
        <c:txPr>
          <a:bodyPr/>
          <a:lstStyle/>
          <a:p>
            <a:pPr>
              <a:defRPr sz="1000" spc="-1">
                <a:solidFill>
                  <a:srgbClr val="000000"/>
                </a:solidFill>
                <a:latin typeface="Calibri"/>
              </a:defRPr>
            </a:pPr>
            <a:endParaRPr lang="es-CR"/>
          </a:p>
        </c:txPr>
        <c:crossAx val="90291200"/>
        <c:crosses val="autoZero"/>
        <c:auto val="1"/>
        <c:lblAlgn val="ctr"/>
        <c:lblOffset val="100"/>
        <c:noMultiLvlLbl val="1"/>
      </c:catAx>
      <c:valAx>
        <c:axId val="90291200"/>
        <c:scaling>
          <c:orientation val="minMax"/>
          <c:min val="0"/>
        </c:scaling>
        <c:axPos val="l"/>
        <c:title>
          <c:tx>
            <c:rich>
              <a:bodyPr rot="-5400000"/>
              <a:lstStyle/>
              <a:p>
                <a:pPr>
                  <a:defRPr sz="1000" b="1" spc="-1">
                    <a:solidFill>
                      <a:srgbClr val="000000"/>
                    </a:solidFill>
                    <a:latin typeface="Calibri"/>
                  </a:defRPr>
                </a:pPr>
                <a:r>
                  <a:rPr lang="es-CR" sz="1000" b="1" spc="-1">
                    <a:solidFill>
                      <a:srgbClr val="000000"/>
                    </a:solidFill>
                    <a:latin typeface="Calibri"/>
                  </a:rPr>
                  <a:t>Millones de colones</a:t>
                </a:r>
              </a:p>
            </c:rich>
          </c:tx>
        </c:title>
        <c:numFmt formatCode="#&quot; &quot;##0" sourceLinked="0"/>
        <c:tickLblPos val="nextTo"/>
        <c:spPr>
          <a:ln w="9360">
            <a:solidFill>
              <a:srgbClr val="878787"/>
            </a:solidFill>
            <a:round/>
          </a:ln>
        </c:spPr>
        <c:txPr>
          <a:bodyPr/>
          <a:lstStyle/>
          <a:p>
            <a:pPr>
              <a:defRPr sz="1000" spc="-1">
                <a:solidFill>
                  <a:srgbClr val="000000"/>
                </a:solidFill>
                <a:latin typeface="Calibri"/>
              </a:defRPr>
            </a:pPr>
            <a:endParaRPr lang="es-CR"/>
          </a:p>
        </c:txPr>
        <c:crossAx val="90289664"/>
        <c:crosses val="autoZero"/>
        <c:crossBetween val="between"/>
      </c:valAx>
      <c:spPr>
        <a:noFill/>
        <a:ln w="9360">
          <a:solidFill>
            <a:srgbClr val="878787"/>
          </a:solidFill>
          <a:round/>
        </a:ln>
      </c:spPr>
    </c:plotArea>
    <c:plotVisOnly val="1"/>
    <c:dispBlanksAs val="gap"/>
    <c:showDLblsOverMax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perspective val="30"/>
    </c:view3D>
    <c:floor>
      <c:spPr>
        <a:noFill/>
        <a:ln w="9360">
          <a:solidFill>
            <a:srgbClr val="878787"/>
          </a:solidFill>
          <a:round/>
        </a:ln>
      </c:spPr>
    </c:floor>
    <c:backWall>
      <c:spPr>
        <a:noFill/>
        <a:ln w="9360">
          <a:solidFill>
            <a:srgbClr val="878787"/>
          </a:solidFill>
          <a:round/>
        </a:ln>
      </c:spPr>
    </c:backWall>
    <c:plotArea>
      <c:layout/>
      <c:bar3DChart>
        <c:barDir val="col"/>
        <c:grouping val="clustered"/>
        <c:ser>
          <c:idx val="0"/>
          <c:order val="0"/>
          <c:tx>
            <c:strRef>
              <c:f>label 0</c:f>
              <c:strCache>
                <c:ptCount val="1"/>
              </c:strCache>
            </c:strRef>
          </c:tx>
          <c:spPr>
            <a:solidFill>
              <a:srgbClr val="4F81BD"/>
            </a:solidFill>
            <a:ln w="9360">
              <a:solidFill>
                <a:srgbClr val="F9F9F9"/>
              </a:solidFill>
              <a:round/>
            </a:ln>
          </c:spPr>
          <c:dLbls>
            <c:dLbl>
              <c:idx val="0"/>
              <c:layout>
                <c:manualLayout>
                  <c:x val="3.3047919483250775E-2"/>
                  <c:y val="0.24839006439742442"/>
                </c:manualLayout>
              </c:layout>
              <c:showVal val="1"/>
              <c:showBubbleSize val="1"/>
            </c:dLbl>
            <c:dLbl>
              <c:idx val="1"/>
              <c:layout>
                <c:manualLayout>
                  <c:x val="1.8012668437360827E-2"/>
                  <c:y val="0.23898987332885319"/>
                </c:manualLayout>
              </c:layout>
              <c:showVal val="1"/>
              <c:showBubbleSize val="1"/>
            </c:dLbl>
            <c:numFmt formatCode="#,##0.0" sourceLinked="0"/>
            <c:txPr>
              <a:bodyPr/>
              <a:lstStyle/>
              <a:p>
                <a:pPr>
                  <a:defRPr b="1"/>
                </a:pPr>
                <a:endParaRPr lang="es-CR"/>
              </a:p>
            </c:txPr>
            <c:showVal val="1"/>
            <c:showBubbleSize val="1"/>
          </c:dLbls>
          <c:cat>
            <c:strRef>
              <c:f>categories</c:f>
              <c:strCache>
                <c:ptCount val="2"/>
                <c:pt idx="0">
                  <c:v>Presupuestado</c:v>
                </c:pt>
                <c:pt idx="1">
                  <c:v>Ejecutado</c:v>
                </c:pt>
              </c:strCache>
            </c:strRef>
          </c:cat>
          <c:val>
            <c:numRef>
              <c:f>0</c:f>
              <c:numCache>
                <c:formatCode>General</c:formatCode>
                <c:ptCount val="2"/>
                <c:pt idx="0">
                  <c:v>22151.666280699999</c:v>
                </c:pt>
                <c:pt idx="1">
                  <c:v>16961.025980549999</c:v>
                </c:pt>
              </c:numCache>
            </c:numRef>
          </c:val>
        </c:ser>
        <c:gapWidth val="60"/>
        <c:shape val="cylinder"/>
        <c:axId val="103603200"/>
        <c:axId val="108864256"/>
        <c:axId val="0"/>
      </c:bar3DChart>
      <c:catAx>
        <c:axId val="103603200"/>
        <c:scaling>
          <c:orientation val="minMax"/>
        </c:scaling>
        <c:axPos val="b"/>
        <c:numFmt formatCode="dd/mm/aaaa" sourceLinked="1"/>
        <c:tickLblPos val="nextTo"/>
        <c:spPr>
          <a:ln w="9360">
            <a:solidFill>
              <a:srgbClr val="878787"/>
            </a:solidFill>
            <a:round/>
          </a:ln>
        </c:spPr>
        <c:txPr>
          <a:bodyPr/>
          <a:lstStyle/>
          <a:p>
            <a:pPr>
              <a:defRPr sz="1000" spc="-1">
                <a:solidFill>
                  <a:srgbClr val="000000"/>
                </a:solidFill>
                <a:latin typeface="Calibri"/>
              </a:defRPr>
            </a:pPr>
            <a:endParaRPr lang="es-CR"/>
          </a:p>
        </c:txPr>
        <c:crossAx val="108864256"/>
        <c:crosses val="autoZero"/>
        <c:auto val="1"/>
        <c:lblAlgn val="ctr"/>
        <c:lblOffset val="100"/>
        <c:noMultiLvlLbl val="1"/>
      </c:catAx>
      <c:valAx>
        <c:axId val="108864256"/>
        <c:scaling>
          <c:orientation val="minMax"/>
          <c:min val="0"/>
        </c:scaling>
        <c:axPos val="l"/>
        <c:title>
          <c:tx>
            <c:rich>
              <a:bodyPr rot="-5400000"/>
              <a:lstStyle/>
              <a:p>
                <a:pPr>
                  <a:defRPr sz="1000" b="1" spc="-1">
                    <a:solidFill>
                      <a:srgbClr val="000000"/>
                    </a:solidFill>
                    <a:latin typeface="Calibri"/>
                  </a:defRPr>
                </a:pPr>
                <a:r>
                  <a:rPr lang="es-CR" sz="1000" b="1" spc="-1">
                    <a:solidFill>
                      <a:srgbClr val="000000"/>
                    </a:solidFill>
                    <a:latin typeface="Calibri"/>
                  </a:rPr>
                  <a:t>Millones de colones</a:t>
                </a:r>
              </a:p>
            </c:rich>
          </c:tx>
        </c:title>
        <c:numFmt formatCode="#&quot; &quot;##0" sourceLinked="0"/>
        <c:tickLblPos val="nextTo"/>
        <c:spPr>
          <a:ln w="9360">
            <a:solidFill>
              <a:srgbClr val="878787"/>
            </a:solidFill>
            <a:round/>
          </a:ln>
        </c:spPr>
        <c:txPr>
          <a:bodyPr/>
          <a:lstStyle/>
          <a:p>
            <a:pPr>
              <a:defRPr sz="1000" spc="-1">
                <a:solidFill>
                  <a:srgbClr val="000000"/>
                </a:solidFill>
                <a:latin typeface="Calibri"/>
              </a:defRPr>
            </a:pPr>
            <a:endParaRPr lang="es-CR"/>
          </a:p>
        </c:txPr>
        <c:crossAx val="103603200"/>
        <c:crosses val="autoZero"/>
        <c:crossBetween val="between"/>
      </c:valAx>
      <c:spPr>
        <a:noFill/>
        <a:ln w="9360">
          <a:solidFill>
            <a:srgbClr val="878787"/>
          </a:solidFill>
          <a:round/>
        </a:ln>
      </c:spPr>
    </c:plotArea>
    <c:plotVisOnly val="1"/>
    <c:dispBlanksAs val="gap"/>
    <c:showDLblsOverMax val="1"/>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perspective val="30"/>
    </c:view3D>
    <c:floor>
      <c:spPr>
        <a:noFill/>
        <a:ln w="9360">
          <a:solidFill>
            <a:srgbClr val="878787"/>
          </a:solidFill>
          <a:round/>
        </a:ln>
      </c:spPr>
    </c:floor>
    <c:backWall>
      <c:spPr>
        <a:noFill/>
        <a:ln w="9360">
          <a:solidFill>
            <a:srgbClr val="878787"/>
          </a:solidFill>
          <a:round/>
        </a:ln>
      </c:spPr>
    </c:backWall>
    <c:plotArea>
      <c:layout/>
      <c:bar3DChart>
        <c:barDir val="col"/>
        <c:grouping val="clustered"/>
        <c:ser>
          <c:idx val="0"/>
          <c:order val="0"/>
          <c:tx>
            <c:strRef>
              <c:f>label 0</c:f>
              <c:strCache>
                <c:ptCount val="1"/>
              </c:strCache>
            </c:strRef>
          </c:tx>
          <c:spPr>
            <a:solidFill>
              <a:srgbClr val="4F81BD"/>
            </a:solidFill>
            <a:ln w="9360">
              <a:solidFill>
                <a:srgbClr val="F9F9F9"/>
              </a:solidFill>
              <a:round/>
            </a:ln>
          </c:spPr>
          <c:dLbls>
            <c:dLbl>
              <c:idx val="0"/>
              <c:layout>
                <c:manualLayout>
                  <c:x val="3.0043563166591614E-2"/>
                  <c:y val="0.24085224641037539"/>
                </c:manualLayout>
              </c:layout>
              <c:showVal val="1"/>
              <c:showBubbleSize val="1"/>
            </c:dLbl>
            <c:dLbl>
              <c:idx val="1"/>
              <c:layout>
                <c:manualLayout>
                  <c:x val="3.302322546849485E-2"/>
                  <c:y val="0.24537037037037041"/>
                </c:manualLayout>
              </c:layout>
              <c:showVal val="1"/>
              <c:showBubbleSize val="1"/>
            </c:dLbl>
            <c:numFmt formatCode="#,##0.0" sourceLinked="0"/>
            <c:txPr>
              <a:bodyPr/>
              <a:lstStyle/>
              <a:p>
                <a:pPr>
                  <a:defRPr b="1"/>
                </a:pPr>
                <a:endParaRPr lang="es-CR"/>
              </a:p>
            </c:txPr>
            <c:showVal val="1"/>
            <c:showBubbleSize val="1"/>
          </c:dLbls>
          <c:cat>
            <c:strRef>
              <c:f>categories</c:f>
              <c:strCache>
                <c:ptCount val="2"/>
                <c:pt idx="0">
                  <c:v>Presupuestado</c:v>
                </c:pt>
                <c:pt idx="1">
                  <c:v>Ejecutado</c:v>
                </c:pt>
              </c:strCache>
            </c:strRef>
          </c:cat>
          <c:val>
            <c:numRef>
              <c:f>0</c:f>
              <c:numCache>
                <c:formatCode>General</c:formatCode>
                <c:ptCount val="2"/>
                <c:pt idx="0">
                  <c:v>31954.961011280022</c:v>
                </c:pt>
                <c:pt idx="1">
                  <c:v>25045.86478657</c:v>
                </c:pt>
              </c:numCache>
            </c:numRef>
          </c:val>
        </c:ser>
        <c:gapWidth val="60"/>
        <c:shape val="cylinder"/>
        <c:axId val="108880640"/>
        <c:axId val="108882176"/>
        <c:axId val="0"/>
      </c:bar3DChart>
      <c:catAx>
        <c:axId val="108880640"/>
        <c:scaling>
          <c:orientation val="minMax"/>
        </c:scaling>
        <c:axPos val="b"/>
        <c:numFmt formatCode="dd/mm/aaaa" sourceLinked="1"/>
        <c:tickLblPos val="nextTo"/>
        <c:spPr>
          <a:ln w="9360">
            <a:solidFill>
              <a:srgbClr val="878787"/>
            </a:solidFill>
            <a:round/>
          </a:ln>
        </c:spPr>
        <c:txPr>
          <a:bodyPr/>
          <a:lstStyle/>
          <a:p>
            <a:pPr>
              <a:defRPr sz="1000" spc="-1">
                <a:solidFill>
                  <a:srgbClr val="000000"/>
                </a:solidFill>
                <a:latin typeface="Calibri"/>
              </a:defRPr>
            </a:pPr>
            <a:endParaRPr lang="es-CR"/>
          </a:p>
        </c:txPr>
        <c:crossAx val="108882176"/>
        <c:crosses val="autoZero"/>
        <c:auto val="1"/>
        <c:lblAlgn val="ctr"/>
        <c:lblOffset val="100"/>
        <c:noMultiLvlLbl val="1"/>
      </c:catAx>
      <c:valAx>
        <c:axId val="108882176"/>
        <c:scaling>
          <c:orientation val="minMax"/>
          <c:min val="0"/>
        </c:scaling>
        <c:axPos val="l"/>
        <c:title>
          <c:tx>
            <c:rich>
              <a:bodyPr rot="-5400000"/>
              <a:lstStyle/>
              <a:p>
                <a:pPr>
                  <a:defRPr sz="1000" b="1" spc="-1">
                    <a:solidFill>
                      <a:srgbClr val="000000"/>
                    </a:solidFill>
                    <a:latin typeface="Calibri"/>
                  </a:defRPr>
                </a:pPr>
                <a:r>
                  <a:rPr lang="es-CR" sz="1000" b="1" spc="-1">
                    <a:solidFill>
                      <a:srgbClr val="000000"/>
                    </a:solidFill>
                    <a:latin typeface="Calibri"/>
                  </a:rPr>
                  <a:t>Millones de colones</a:t>
                </a:r>
              </a:p>
            </c:rich>
          </c:tx>
        </c:title>
        <c:numFmt formatCode="#&quot; &quot;##0" sourceLinked="0"/>
        <c:tickLblPos val="nextTo"/>
        <c:spPr>
          <a:ln w="9360">
            <a:solidFill>
              <a:srgbClr val="878787"/>
            </a:solidFill>
            <a:round/>
          </a:ln>
        </c:spPr>
        <c:txPr>
          <a:bodyPr/>
          <a:lstStyle/>
          <a:p>
            <a:pPr>
              <a:defRPr sz="1000" spc="-1">
                <a:solidFill>
                  <a:srgbClr val="000000"/>
                </a:solidFill>
                <a:latin typeface="Calibri"/>
              </a:defRPr>
            </a:pPr>
            <a:endParaRPr lang="es-CR"/>
          </a:p>
        </c:txPr>
        <c:crossAx val="108880640"/>
        <c:crosses val="autoZero"/>
        <c:crossBetween val="between"/>
      </c:valAx>
      <c:spPr>
        <a:noFill/>
        <a:ln w="9360">
          <a:solidFill>
            <a:srgbClr val="878787"/>
          </a:solidFill>
          <a:round/>
        </a:ln>
      </c:spPr>
    </c:plotArea>
    <c:plotVisOnly val="1"/>
    <c:dispBlanksAs val="gap"/>
    <c:showDLblsOverMax val="1"/>
  </c:chart>
  <c:spPr>
    <a:solidFill>
      <a:srgbClr val="FFFFFF"/>
    </a:solidFill>
    <a:ln>
      <a:noFill/>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A9BF2-57F5-4DF7-BCCF-618BBAF14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111</Pages>
  <Words>32256</Words>
  <Characters>177408</Characters>
  <Application>Microsoft Office Word</Application>
  <DocSecurity>0</DocSecurity>
  <Lines>1478</Lines>
  <Paragraphs>418</Paragraphs>
  <ScaleCrop>false</ScaleCrop>
  <HeadingPairs>
    <vt:vector size="2" baseType="variant">
      <vt:variant>
        <vt:lpstr>Título</vt:lpstr>
      </vt:variant>
      <vt:variant>
        <vt:i4>1</vt:i4>
      </vt:variant>
    </vt:vector>
  </HeadingPairs>
  <TitlesOfParts>
    <vt:vector size="1" baseType="lpstr">
      <vt:lpstr>Informe grado cumplimiento</vt:lpstr>
    </vt:vector>
  </TitlesOfParts>
  <Company>Microsoft</Company>
  <LinksUpToDate>false</LinksUpToDate>
  <CharactersWithSpaces>209246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grado cumplimiento</dc:title>
  <dc:creator>Ana Luisa Gillies</dc:creator>
  <cp:lastModifiedBy>una</cp:lastModifiedBy>
  <cp:revision>14</cp:revision>
  <cp:lastPrinted>2013-02-11T21:55:00Z</cp:lastPrinted>
  <dcterms:created xsi:type="dcterms:W3CDTF">2016-02-16T17:33:00Z</dcterms:created>
  <dcterms:modified xsi:type="dcterms:W3CDTF">2016-02-16T20:46:00Z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