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7A99E" w14:textId="77777777" w:rsidR="00927F26" w:rsidRPr="007C2E92" w:rsidRDefault="00927F26" w:rsidP="00927F26">
      <w:pPr>
        <w:keepNext/>
        <w:spacing w:after="0" w:line="240" w:lineRule="auto"/>
        <w:jc w:val="center"/>
        <w:outlineLvl w:val="0"/>
        <w:rPr>
          <w:rFonts w:ascii="Arial" w:eastAsia="Times New Roman" w:hAnsi="Arial" w:cs="Arial"/>
          <w:b/>
          <w:bCs/>
          <w:sz w:val="24"/>
          <w:szCs w:val="24"/>
          <w:lang w:eastAsia="es-CR"/>
        </w:rPr>
      </w:pPr>
      <w:r w:rsidRPr="007C2E92">
        <w:rPr>
          <w:rFonts w:ascii="Arial" w:eastAsia="Times New Roman" w:hAnsi="Arial" w:cs="Arial"/>
          <w:b/>
          <w:bCs/>
          <w:sz w:val="24"/>
          <w:szCs w:val="24"/>
          <w:lang w:eastAsia="es-CR"/>
        </w:rPr>
        <w:t>UNA-GACETA N.°9-2025</w:t>
      </w:r>
    </w:p>
    <w:p w14:paraId="5AB2C86C" w14:textId="77777777" w:rsidR="00927F26" w:rsidRPr="007C2E92" w:rsidRDefault="00927F26" w:rsidP="00927F26">
      <w:pPr>
        <w:keepNext/>
        <w:spacing w:after="0" w:line="240" w:lineRule="auto"/>
        <w:jc w:val="center"/>
        <w:outlineLvl w:val="0"/>
        <w:rPr>
          <w:rFonts w:ascii="Arial" w:eastAsia="Times New Roman" w:hAnsi="Arial" w:cs="Arial"/>
          <w:b/>
          <w:sz w:val="24"/>
          <w:szCs w:val="24"/>
          <w:lang w:eastAsia="es-CR"/>
        </w:rPr>
      </w:pPr>
      <w:r w:rsidRPr="007C2E92">
        <w:rPr>
          <w:rFonts w:ascii="Arial" w:eastAsia="Times New Roman" w:hAnsi="Arial" w:cs="Arial"/>
          <w:b/>
          <w:sz w:val="24"/>
          <w:szCs w:val="24"/>
          <w:lang w:eastAsia="es-CR"/>
        </w:rPr>
        <w:t>30 DE OCTUBRE DE 2025</w:t>
      </w:r>
    </w:p>
    <w:p w14:paraId="30FAD5A5" w14:textId="77777777" w:rsidR="002C47A0" w:rsidRDefault="002C47A0"/>
    <w:p w14:paraId="5068DF6C" w14:textId="77777777" w:rsidR="00927F26" w:rsidRDefault="00927F26"/>
    <w:p w14:paraId="0183943D" w14:textId="77777777" w:rsidR="00927F26" w:rsidRDefault="00927F26" w:rsidP="00927F26">
      <w:pPr>
        <w:suppressAutoHyphens/>
        <w:autoSpaceDN w:val="0"/>
        <w:spacing w:after="0" w:line="240" w:lineRule="auto"/>
        <w:ind w:left="567"/>
        <w:jc w:val="center"/>
        <w:rPr>
          <w:rFonts w:ascii="Arial" w:hAnsi="Arial" w:cs="Arial"/>
          <w:b/>
          <w:bCs/>
          <w:sz w:val="24"/>
          <w:szCs w:val="24"/>
        </w:rPr>
      </w:pPr>
    </w:p>
    <w:p w14:paraId="654A3F66" w14:textId="77777777" w:rsidR="00927F26" w:rsidRPr="007C2E92" w:rsidRDefault="00927F26" w:rsidP="00927F26">
      <w:pPr>
        <w:pBdr>
          <w:top w:val="nil"/>
          <w:left w:val="nil"/>
          <w:bottom w:val="nil"/>
          <w:right w:val="nil"/>
          <w:between w:val="nil"/>
        </w:pBdr>
        <w:spacing w:after="0" w:line="240" w:lineRule="auto"/>
        <w:ind w:left="567"/>
        <w:jc w:val="both"/>
        <w:rPr>
          <w:rFonts w:ascii="Arial" w:eastAsia="Arial" w:hAnsi="Arial" w:cs="Arial"/>
          <w:color w:val="000000"/>
          <w:sz w:val="24"/>
          <w:szCs w:val="24"/>
          <w:lang w:eastAsia="es-CR"/>
        </w:rPr>
      </w:pPr>
    </w:p>
    <w:p w14:paraId="6C6F2656" w14:textId="77777777" w:rsidR="00927F26" w:rsidRPr="007C2E92" w:rsidRDefault="00927F26" w:rsidP="00927F26">
      <w:pPr>
        <w:widowControl w:val="0"/>
        <w:pBdr>
          <w:top w:val="single" w:sz="4" w:space="1" w:color="000000"/>
          <w:left w:val="single" w:sz="4" w:space="4" w:color="000000"/>
          <w:bottom w:val="single" w:sz="4" w:space="1" w:color="000000"/>
          <w:right w:val="single" w:sz="4" w:space="4" w:color="000000"/>
        </w:pBdr>
        <w:spacing w:after="0" w:line="240" w:lineRule="auto"/>
        <w:jc w:val="center"/>
        <w:rPr>
          <w:rFonts w:ascii="Arial" w:hAnsi="Arial" w:cs="Arial"/>
          <w:sz w:val="24"/>
          <w:szCs w:val="24"/>
        </w:rPr>
      </w:pPr>
      <w:r w:rsidRPr="007C2E92">
        <w:rPr>
          <w:rFonts w:ascii="Arial" w:eastAsia="Times New Roman" w:hAnsi="Arial" w:cs="Arial"/>
          <w:b/>
          <w:sz w:val="24"/>
          <w:szCs w:val="24"/>
          <w:lang w:val="es-ES"/>
        </w:rPr>
        <w:t>RESOLUCIÓN UNA-VADM-RESO-351-2025</w:t>
      </w:r>
    </w:p>
    <w:p w14:paraId="7F1E9BDD" w14:textId="77777777" w:rsidR="00927F26" w:rsidRPr="007C2E92" w:rsidRDefault="00927F26" w:rsidP="00927F26">
      <w:pPr>
        <w:widowControl w:val="0"/>
        <w:spacing w:after="0" w:line="240" w:lineRule="auto"/>
        <w:jc w:val="center"/>
        <w:rPr>
          <w:rFonts w:ascii="Arial" w:eastAsia="Times New Roman" w:hAnsi="Arial" w:cs="Arial"/>
          <w:b/>
          <w:sz w:val="24"/>
          <w:szCs w:val="24"/>
          <w:lang w:val="es-ES"/>
        </w:rPr>
      </w:pPr>
    </w:p>
    <w:p w14:paraId="544E5968" w14:textId="77777777" w:rsidR="00927F26" w:rsidRPr="007C2E92" w:rsidRDefault="00927F26" w:rsidP="00927F26">
      <w:pPr>
        <w:widowControl w:val="0"/>
        <w:spacing w:after="0" w:line="240" w:lineRule="auto"/>
        <w:jc w:val="both"/>
        <w:rPr>
          <w:rFonts w:ascii="Arial" w:hAnsi="Arial" w:cs="Arial"/>
          <w:sz w:val="24"/>
          <w:szCs w:val="24"/>
        </w:rPr>
      </w:pPr>
      <w:r w:rsidRPr="007C2E92">
        <w:rPr>
          <w:rFonts w:ascii="Arial" w:eastAsia="Times New Roman" w:hAnsi="Arial" w:cs="Arial"/>
          <w:b/>
          <w:sz w:val="24"/>
          <w:szCs w:val="24"/>
          <w:lang w:val="es-ES"/>
        </w:rPr>
        <w:t xml:space="preserve">HEREDIA, CAMPUS OMAR DENGO, UNIVERSIDAD NACIONAL, VICERRECTORÍA DE ADMINISTRACIÓN, A LAS DIEZ HORAS Y CUATRO MINUTO DEL VEINTITRÉS DE OCTUBRE DEL DOS MIL VEINTICINCO.   </w:t>
      </w:r>
    </w:p>
    <w:p w14:paraId="5CC8C8D1" w14:textId="77777777" w:rsidR="00927F26" w:rsidRPr="007C2E92" w:rsidRDefault="00927F26" w:rsidP="00927F26">
      <w:pPr>
        <w:widowControl w:val="0"/>
        <w:spacing w:after="0" w:line="240" w:lineRule="auto"/>
        <w:jc w:val="both"/>
        <w:rPr>
          <w:rFonts w:ascii="Arial" w:eastAsia="Times New Roman" w:hAnsi="Arial" w:cs="Arial"/>
          <w:b/>
          <w:sz w:val="24"/>
          <w:szCs w:val="24"/>
          <w:lang w:val="es-ES"/>
        </w:rPr>
      </w:pPr>
    </w:p>
    <w:p w14:paraId="1DCCD232" w14:textId="77777777" w:rsidR="00927F26" w:rsidRPr="007C2E92" w:rsidRDefault="00927F26" w:rsidP="00927F26">
      <w:pPr>
        <w:widowControl w:val="0"/>
        <w:spacing w:after="0" w:line="240" w:lineRule="auto"/>
        <w:jc w:val="both"/>
        <w:rPr>
          <w:rFonts w:ascii="Arial" w:eastAsia="Times New Roman" w:hAnsi="Arial" w:cs="Arial"/>
          <w:b/>
          <w:sz w:val="24"/>
          <w:szCs w:val="24"/>
          <w:lang w:val="es-ES"/>
        </w:rPr>
      </w:pPr>
      <w:r w:rsidRPr="007C2E92">
        <w:rPr>
          <w:rFonts w:ascii="Arial" w:eastAsia="Times New Roman" w:hAnsi="Arial" w:cs="Arial"/>
          <w:b/>
          <w:sz w:val="24"/>
          <w:szCs w:val="24"/>
          <w:lang w:val="es-ES"/>
        </w:rPr>
        <w:t>SE EMITE RESOLUCIÓN DE FE DE ERRATAS PARA EFECTOS DE ACLARAR EL CÓDIGO DEL “PROCEDIMIENTO PARA LA COMPRA DE ACTIVOS CAPITALIZABLES POR MEDIO DE CAJA CHICA”.</w:t>
      </w:r>
    </w:p>
    <w:p w14:paraId="6F2602BA" w14:textId="77777777" w:rsidR="00970783" w:rsidRDefault="00970783" w:rsidP="00970783">
      <w:pPr>
        <w:widowControl w:val="0"/>
        <w:spacing w:after="0" w:line="240" w:lineRule="auto"/>
        <w:jc w:val="center"/>
        <w:rPr>
          <w:rFonts w:ascii="Arial" w:eastAsia="Times New Roman" w:hAnsi="Arial" w:cs="Arial"/>
          <w:b/>
          <w:sz w:val="24"/>
          <w:szCs w:val="24"/>
          <w:lang w:val="es-ES"/>
        </w:rPr>
      </w:pPr>
    </w:p>
    <w:p w14:paraId="58EB5B3B" w14:textId="77777777" w:rsidR="00970783" w:rsidRDefault="00970783" w:rsidP="00970783">
      <w:pPr>
        <w:widowControl w:val="0"/>
        <w:spacing w:after="0" w:line="240" w:lineRule="auto"/>
        <w:jc w:val="center"/>
        <w:rPr>
          <w:rFonts w:ascii="Arial" w:eastAsia="Times New Roman" w:hAnsi="Arial" w:cs="Arial"/>
          <w:b/>
          <w:sz w:val="24"/>
          <w:szCs w:val="24"/>
          <w:lang w:val="es-ES"/>
        </w:rPr>
      </w:pPr>
    </w:p>
    <w:p w14:paraId="0D3081BB" w14:textId="20438253" w:rsidR="00927F26" w:rsidRDefault="00927F26" w:rsidP="00970783">
      <w:pPr>
        <w:widowControl w:val="0"/>
        <w:spacing w:after="0" w:line="240" w:lineRule="auto"/>
        <w:jc w:val="center"/>
        <w:rPr>
          <w:rFonts w:ascii="Arial" w:eastAsia="Times New Roman" w:hAnsi="Arial" w:cs="Arial"/>
          <w:b/>
          <w:sz w:val="24"/>
          <w:szCs w:val="24"/>
          <w:lang w:val="es-ES"/>
        </w:rPr>
      </w:pPr>
      <w:hyperlink r:id="rId5" w:history="1">
        <w:r w:rsidRPr="007C2E92">
          <w:rPr>
            <w:rStyle w:val="Hipervnculo"/>
            <w:rFonts w:ascii="Arial" w:hAnsi="Arial" w:cs="Arial"/>
            <w:b/>
            <w:sz w:val="24"/>
            <w:szCs w:val="24"/>
            <w:lang w:val="es-ES"/>
          </w:rPr>
          <w:t>“PROCEDIMIENTO PARA LA COMPRA DE ACTIVOS CAPITALIZABLES POR MEDIO DE CAJA CHICA”</w:t>
        </w:r>
      </w:hyperlink>
      <w:r w:rsidRPr="007C2E92">
        <w:rPr>
          <w:rFonts w:ascii="Arial" w:eastAsia="Times New Roman" w:hAnsi="Arial" w:cs="Arial"/>
          <w:b/>
          <w:sz w:val="24"/>
          <w:szCs w:val="24"/>
          <w:lang w:val="es-ES"/>
        </w:rPr>
        <w:t>,</w:t>
      </w:r>
    </w:p>
    <w:p w14:paraId="35008FF5" w14:textId="719F67AB" w:rsidR="00970783" w:rsidRPr="00970783" w:rsidRDefault="00970783" w:rsidP="00970783">
      <w:pPr>
        <w:widowControl w:val="0"/>
        <w:spacing w:after="0" w:line="240" w:lineRule="auto"/>
        <w:jc w:val="center"/>
        <w:rPr>
          <w:rFonts w:ascii="Arial" w:eastAsia="Times New Roman" w:hAnsi="Arial" w:cs="Arial"/>
          <w:b/>
          <w:sz w:val="24"/>
          <w:szCs w:val="24"/>
          <w:lang w:val="it-IT"/>
        </w:rPr>
      </w:pPr>
      <w:r w:rsidRPr="00970783">
        <w:rPr>
          <w:rFonts w:ascii="Arial" w:eastAsia="Times New Roman" w:hAnsi="Arial" w:cs="Arial"/>
          <w:b/>
          <w:bCs/>
          <w:sz w:val="24"/>
          <w:szCs w:val="24"/>
          <w:lang w:val="it-IT"/>
        </w:rPr>
        <w:t>UNA-PGF-PR-006/UNA-PI-PR-006</w:t>
      </w:r>
    </w:p>
    <w:p w14:paraId="0A4E065A" w14:textId="77777777" w:rsidR="00927F26" w:rsidRPr="007C2E92" w:rsidRDefault="00927F26" w:rsidP="00970783">
      <w:pPr>
        <w:widowControl w:val="0"/>
        <w:spacing w:after="0" w:line="240" w:lineRule="auto"/>
        <w:jc w:val="center"/>
        <w:rPr>
          <w:rFonts w:ascii="Arial" w:eastAsia="Arial" w:hAnsi="Arial" w:cs="Arial"/>
          <w:color w:val="000000"/>
          <w:sz w:val="24"/>
          <w:szCs w:val="24"/>
          <w:lang w:eastAsia="es-CR"/>
        </w:rPr>
      </w:pPr>
      <w:r w:rsidRPr="007C2E92">
        <w:rPr>
          <w:rFonts w:ascii="Arial" w:eastAsia="Times New Roman" w:hAnsi="Arial" w:cs="Arial"/>
          <w:b/>
          <w:sz w:val="24"/>
          <w:szCs w:val="24"/>
          <w:lang w:val="es-ES"/>
        </w:rPr>
        <w:t>Vicerrector de Administración</w:t>
      </w:r>
    </w:p>
    <w:p w14:paraId="6E566C68" w14:textId="77777777" w:rsidR="00927F26" w:rsidRPr="007C2E92" w:rsidRDefault="00927F26" w:rsidP="00927F26">
      <w:pPr>
        <w:pBdr>
          <w:top w:val="nil"/>
          <w:left w:val="nil"/>
          <w:bottom w:val="nil"/>
          <w:right w:val="nil"/>
          <w:between w:val="nil"/>
        </w:pBdr>
        <w:spacing w:after="0" w:line="240" w:lineRule="auto"/>
        <w:ind w:left="567"/>
        <w:jc w:val="right"/>
        <w:rPr>
          <w:rFonts w:ascii="Arial" w:eastAsia="Arial" w:hAnsi="Arial" w:cs="Arial"/>
          <w:color w:val="000000"/>
          <w:sz w:val="24"/>
          <w:szCs w:val="24"/>
          <w:lang w:eastAsia="es-CR"/>
        </w:rPr>
        <w:sectPr w:rsidR="00927F26" w:rsidRPr="007C2E92" w:rsidSect="00927F26">
          <w:headerReference w:type="even" r:id="rId6"/>
          <w:footerReference w:type="even" r:id="rId7"/>
          <w:footerReference w:type="default" r:id="rId8"/>
          <w:footerReference w:type="first" r:id="rId9"/>
          <w:pgSz w:w="11909" w:h="16834"/>
          <w:pgMar w:top="1134" w:right="1134" w:bottom="1134" w:left="1134" w:header="720" w:footer="720" w:gutter="0"/>
          <w:cols w:space="708"/>
          <w:docGrid w:linePitch="299"/>
        </w:sectPr>
      </w:pPr>
    </w:p>
    <w:p w14:paraId="0489B717" w14:textId="77777777" w:rsidR="00927F26" w:rsidRPr="007C2E92" w:rsidRDefault="00927F26" w:rsidP="00927F26">
      <w:pPr>
        <w:pBdr>
          <w:top w:val="nil"/>
          <w:left w:val="nil"/>
          <w:bottom w:val="nil"/>
          <w:right w:val="nil"/>
          <w:between w:val="nil"/>
        </w:pBdr>
        <w:spacing w:after="0" w:line="240" w:lineRule="auto"/>
        <w:ind w:left="567"/>
        <w:jc w:val="both"/>
        <w:rPr>
          <w:rFonts w:ascii="Arial" w:eastAsia="Arial" w:hAnsi="Arial" w:cs="Arial"/>
          <w:color w:val="000000"/>
          <w:sz w:val="24"/>
          <w:szCs w:val="24"/>
          <w:lang w:eastAsia="es-CR"/>
        </w:rPr>
      </w:pPr>
    </w:p>
    <w:p w14:paraId="324190A6" w14:textId="77777777" w:rsidR="00927F26" w:rsidRPr="007C2E92" w:rsidRDefault="00927F26" w:rsidP="00927F26">
      <w:pPr>
        <w:numPr>
          <w:ilvl w:val="0"/>
          <w:numId w:val="9"/>
        </w:numPr>
        <w:pBdr>
          <w:top w:val="nil"/>
          <w:left w:val="nil"/>
          <w:bottom w:val="nil"/>
          <w:right w:val="nil"/>
          <w:between w:val="nil"/>
        </w:pBdr>
        <w:spacing w:after="0" w:line="240" w:lineRule="auto"/>
        <w:ind w:left="567" w:hanging="567"/>
        <w:jc w:val="both"/>
        <w:rPr>
          <w:rFonts w:ascii="Arial" w:eastAsia="Arial" w:hAnsi="Arial" w:cs="Arial"/>
          <w:color w:val="000000"/>
          <w:sz w:val="24"/>
          <w:szCs w:val="24"/>
        </w:rPr>
      </w:pPr>
      <w:r w:rsidRPr="007C2E92">
        <w:rPr>
          <w:rFonts w:ascii="Arial" w:eastAsia="Arial" w:hAnsi="Arial" w:cs="Arial"/>
          <w:b/>
          <w:color w:val="000000"/>
          <w:sz w:val="24"/>
          <w:szCs w:val="24"/>
        </w:rPr>
        <w:t>Propósito</w:t>
      </w:r>
    </w:p>
    <w:p w14:paraId="1856F8FD" w14:textId="77777777" w:rsidR="00927F26" w:rsidRPr="007C2E92" w:rsidRDefault="00927F26" w:rsidP="00927F26">
      <w:pPr>
        <w:spacing w:after="0" w:line="240" w:lineRule="auto"/>
        <w:ind w:left="567"/>
        <w:jc w:val="both"/>
        <w:rPr>
          <w:rFonts w:ascii="Arial" w:eastAsia="Arial" w:hAnsi="Arial" w:cs="Arial"/>
          <w:sz w:val="24"/>
          <w:szCs w:val="24"/>
        </w:rPr>
      </w:pPr>
      <w:r w:rsidRPr="007C2E92">
        <w:rPr>
          <w:rFonts w:ascii="Arial" w:eastAsia="Arial" w:hAnsi="Arial" w:cs="Arial"/>
          <w:sz w:val="24"/>
          <w:szCs w:val="24"/>
        </w:rPr>
        <w:t>El presente procedimiento tiene como objetivo orientar a las personas usuarias en la correcta gestión de la adquisición y el reintegro de compras relacionadas con activos capitalizables, utilizando para ello el mecanismo de caja chica. A través de este procedimiento se busca garantizar un manejo eficiente, transparente y conforme a las normativas vigentes, facilitando la documentación, control y registro oportuno de las transacciones realizadas.</w:t>
      </w:r>
    </w:p>
    <w:p w14:paraId="5B9ABCBA" w14:textId="77777777" w:rsidR="00927F26" w:rsidRPr="007C2E92" w:rsidRDefault="00927F26" w:rsidP="00927F26">
      <w:pPr>
        <w:spacing w:after="0" w:line="240" w:lineRule="auto"/>
        <w:ind w:left="567" w:hanging="567"/>
        <w:jc w:val="both"/>
        <w:rPr>
          <w:rFonts w:ascii="Arial" w:eastAsia="Arial" w:hAnsi="Arial" w:cs="Arial"/>
          <w:sz w:val="24"/>
          <w:szCs w:val="24"/>
        </w:rPr>
      </w:pPr>
    </w:p>
    <w:p w14:paraId="5A471BF6" w14:textId="77777777" w:rsidR="00927F26" w:rsidRPr="007C2E92" w:rsidRDefault="00927F26" w:rsidP="00927F26">
      <w:pPr>
        <w:numPr>
          <w:ilvl w:val="0"/>
          <w:numId w:val="9"/>
        </w:numPr>
        <w:pBdr>
          <w:top w:val="nil"/>
          <w:left w:val="nil"/>
          <w:bottom w:val="nil"/>
          <w:right w:val="nil"/>
          <w:between w:val="nil"/>
        </w:pBdr>
        <w:spacing w:after="0" w:line="240" w:lineRule="auto"/>
        <w:ind w:left="567" w:hanging="567"/>
        <w:jc w:val="both"/>
        <w:rPr>
          <w:rFonts w:ascii="Arial" w:eastAsia="Arial" w:hAnsi="Arial" w:cs="Arial"/>
          <w:color w:val="000000"/>
          <w:sz w:val="24"/>
          <w:szCs w:val="24"/>
        </w:rPr>
      </w:pPr>
      <w:r w:rsidRPr="007C2E92">
        <w:rPr>
          <w:rFonts w:ascii="Arial" w:eastAsia="Arial" w:hAnsi="Arial" w:cs="Arial"/>
          <w:b/>
          <w:color w:val="000000"/>
          <w:sz w:val="24"/>
          <w:szCs w:val="24"/>
        </w:rPr>
        <w:t>Alcance</w:t>
      </w:r>
    </w:p>
    <w:p w14:paraId="750897E3" w14:textId="77777777" w:rsidR="00927F26" w:rsidRPr="007C2E92" w:rsidRDefault="00927F26" w:rsidP="00927F26">
      <w:pPr>
        <w:pBdr>
          <w:top w:val="nil"/>
          <w:left w:val="nil"/>
          <w:bottom w:val="nil"/>
          <w:right w:val="nil"/>
          <w:between w:val="nil"/>
        </w:pBdr>
        <w:spacing w:after="0" w:line="240" w:lineRule="auto"/>
        <w:ind w:left="567"/>
        <w:jc w:val="both"/>
        <w:rPr>
          <w:rFonts w:ascii="Arial" w:eastAsia="Arial" w:hAnsi="Arial" w:cs="Arial"/>
          <w:sz w:val="24"/>
          <w:szCs w:val="24"/>
        </w:rPr>
      </w:pPr>
      <w:r w:rsidRPr="007C2E92">
        <w:rPr>
          <w:rFonts w:ascii="Arial" w:eastAsia="Arial" w:hAnsi="Arial" w:cs="Arial"/>
          <w:sz w:val="24"/>
          <w:szCs w:val="24"/>
        </w:rPr>
        <w:t>Este procedimiento aplica a las personas superiores jerárquicas de las unidades ejecutoras, personas responsables y personas encargadas quienes figuran como responsables y tienen a su cargo el manejo adecuado de la caja chica autorizada, y que requieran compras de activos capitalizables, siempre y cuando las condiciones de la compra se mantengan dentro de los límites establecidos en el Reglamento de Cajas Chicas de la Universidad Nacional, y previo a realizar la compra, deberán verificar y cumplir con las restricciones o condiciones especiales para su adquisición, en caso de que las haya, establecidas por las Unidades Técnicas Especializadas (UTE).</w:t>
      </w:r>
    </w:p>
    <w:p w14:paraId="65B7D267" w14:textId="77777777" w:rsidR="00927F26" w:rsidRPr="007C2E92" w:rsidRDefault="00927F26" w:rsidP="00927F26">
      <w:pPr>
        <w:pBdr>
          <w:top w:val="nil"/>
          <w:left w:val="nil"/>
          <w:bottom w:val="nil"/>
          <w:right w:val="nil"/>
          <w:between w:val="nil"/>
        </w:pBdr>
        <w:spacing w:after="0" w:line="240" w:lineRule="auto"/>
        <w:ind w:left="567" w:hanging="567"/>
        <w:jc w:val="both"/>
        <w:rPr>
          <w:rFonts w:ascii="Arial" w:eastAsia="Arial" w:hAnsi="Arial" w:cs="Arial"/>
          <w:sz w:val="24"/>
          <w:szCs w:val="24"/>
        </w:rPr>
      </w:pPr>
    </w:p>
    <w:p w14:paraId="580FABD5" w14:textId="77777777" w:rsidR="00927F26" w:rsidRPr="007C2E92" w:rsidRDefault="00927F26" w:rsidP="00927F26">
      <w:pPr>
        <w:numPr>
          <w:ilvl w:val="0"/>
          <w:numId w:val="9"/>
        </w:numPr>
        <w:pBdr>
          <w:top w:val="nil"/>
          <w:left w:val="nil"/>
          <w:bottom w:val="nil"/>
          <w:right w:val="nil"/>
          <w:between w:val="nil"/>
        </w:pBdr>
        <w:spacing w:after="0" w:line="240" w:lineRule="auto"/>
        <w:ind w:left="567" w:hanging="567"/>
        <w:jc w:val="both"/>
        <w:rPr>
          <w:rFonts w:ascii="Arial" w:eastAsia="Arial" w:hAnsi="Arial" w:cs="Arial"/>
          <w:color w:val="000000"/>
          <w:sz w:val="24"/>
          <w:szCs w:val="24"/>
        </w:rPr>
      </w:pPr>
      <w:r w:rsidRPr="007C2E92">
        <w:rPr>
          <w:rFonts w:ascii="Arial" w:eastAsia="Arial" w:hAnsi="Arial" w:cs="Arial"/>
          <w:b/>
          <w:color w:val="000000"/>
          <w:sz w:val="24"/>
          <w:szCs w:val="24"/>
        </w:rPr>
        <w:t>Documentos normativos y de referencia</w:t>
      </w:r>
    </w:p>
    <w:p w14:paraId="6C3FF23A"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Ley General de Contratación Pública, No. 9986 del 31 de mayo de 2021.</w:t>
      </w:r>
    </w:p>
    <w:p w14:paraId="6C3C91D4"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6AB36E78"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hyperlink r:id="rId10">
        <w:r w:rsidRPr="007C2E92">
          <w:rPr>
            <w:rFonts w:ascii="Arial" w:eastAsia="Arial" w:hAnsi="Arial" w:cs="Arial"/>
            <w:color w:val="000000"/>
            <w:sz w:val="24"/>
            <w:szCs w:val="24"/>
          </w:rPr>
          <w:t>Ley sobre el refrendo de las contrataciones de la Administración Pública N°9665</w:t>
        </w:r>
      </w:hyperlink>
      <w:r w:rsidRPr="007C2E92">
        <w:rPr>
          <w:rFonts w:ascii="Arial" w:eastAsia="Arial" w:hAnsi="Arial" w:cs="Arial"/>
          <w:color w:val="000000"/>
          <w:sz w:val="24"/>
          <w:szCs w:val="24"/>
        </w:rPr>
        <w:t xml:space="preserve"> del 15 de mayo del 2019.</w:t>
      </w:r>
    </w:p>
    <w:p w14:paraId="00A1E690"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5E16C42E"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hyperlink r:id="rId11">
        <w:r w:rsidRPr="007C2E92">
          <w:rPr>
            <w:rFonts w:ascii="Arial" w:eastAsia="Arial" w:hAnsi="Arial" w:cs="Arial"/>
            <w:color w:val="000000"/>
            <w:sz w:val="24"/>
            <w:szCs w:val="24"/>
          </w:rPr>
          <w:t>Ley contra la Corrupción y el Enriquecimiento Ilícito en la Función Pública N°8422</w:t>
        </w:r>
      </w:hyperlink>
      <w:r w:rsidRPr="007C2E92">
        <w:rPr>
          <w:rFonts w:ascii="Arial" w:eastAsia="Arial" w:hAnsi="Arial" w:cs="Arial"/>
          <w:color w:val="000000"/>
          <w:sz w:val="24"/>
          <w:szCs w:val="24"/>
        </w:rPr>
        <w:t xml:space="preserve"> del 29 de octubre de 2004.</w:t>
      </w:r>
    </w:p>
    <w:p w14:paraId="2A70F673"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4AAB61A2"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Ley de la Administración Financiera de la República y Presupuestos Públicos (8131) del 16 de octubre de 2001.</w:t>
      </w:r>
    </w:p>
    <w:p w14:paraId="2BCD651C"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01ACB42C"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 xml:space="preserve">Ley General de Control Interno (8292) del 4 de septiembre de 2002. </w:t>
      </w:r>
    </w:p>
    <w:p w14:paraId="5988BD05"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6DC85C22"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Reglamento a la Ley General de Contratación Pública. Decreto Ejecutivo N°43808-H del 30 de noviembre de 2022.</w:t>
      </w:r>
    </w:p>
    <w:p w14:paraId="3A8363BC" w14:textId="77777777" w:rsidR="00927F26" w:rsidRPr="007C2E92" w:rsidRDefault="00927F26" w:rsidP="00927F26">
      <w:pPr>
        <w:tabs>
          <w:tab w:val="left" w:pos="1702"/>
        </w:tabs>
        <w:spacing w:after="0" w:line="240" w:lineRule="auto"/>
        <w:rPr>
          <w:rFonts w:ascii="Arial" w:eastAsia="Arial" w:hAnsi="Arial" w:cs="Arial"/>
          <w:sz w:val="24"/>
          <w:szCs w:val="24"/>
        </w:rPr>
      </w:pPr>
      <w:r w:rsidRPr="007C2E92">
        <w:rPr>
          <w:rFonts w:ascii="Arial" w:eastAsia="Arial" w:hAnsi="Arial" w:cs="Arial"/>
          <w:sz w:val="24"/>
          <w:szCs w:val="24"/>
        </w:rPr>
        <w:tab/>
      </w:r>
    </w:p>
    <w:p w14:paraId="5D9605FA"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Reglamento para la utilización del sistema integrado de compras públicas. Decreto Ejecutivo N°41438-H. Publicada en el Alcance No.13 a La Gaceta N°13 del 18 de enero del 2019.</w:t>
      </w:r>
    </w:p>
    <w:p w14:paraId="5F702A20"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6D0CF373"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Normas Internacionales de Contabilidad para el Sector Público (NICSP) del 14 de agosto de 2009.</w:t>
      </w:r>
    </w:p>
    <w:p w14:paraId="24E47D36"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bookmarkStart w:id="0" w:name="_heading=h.gjdgxs" w:colFirst="0" w:colLast="0"/>
      <w:bookmarkEnd w:id="0"/>
    </w:p>
    <w:p w14:paraId="6CA452F6"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lastRenderedPageBreak/>
        <w:t xml:space="preserve">Reglamento de Contratación Pública de la Universidad Nacional. Aprobado mediante acuerdo N°UNA-SCU-ACUE-354-2023 del 7 de noviembre de 2023, publicado en Gaceta </w:t>
      </w:r>
      <w:proofErr w:type="spellStart"/>
      <w:r w:rsidRPr="007C2E92">
        <w:rPr>
          <w:rFonts w:ascii="Arial" w:eastAsia="Arial" w:hAnsi="Arial" w:cs="Arial"/>
          <w:color w:val="000000"/>
          <w:sz w:val="24"/>
          <w:szCs w:val="24"/>
        </w:rPr>
        <w:t>N°</w:t>
      </w:r>
      <w:proofErr w:type="spellEnd"/>
      <w:r w:rsidRPr="007C2E92">
        <w:rPr>
          <w:rFonts w:ascii="Arial" w:eastAsia="Arial" w:hAnsi="Arial" w:cs="Arial"/>
          <w:color w:val="000000"/>
          <w:sz w:val="24"/>
          <w:szCs w:val="24"/>
        </w:rPr>
        <w:t xml:space="preserve"> UNA-GACETA N°09-2023 al 17 de noviembre de 2023.</w:t>
      </w:r>
    </w:p>
    <w:p w14:paraId="770F991B" w14:textId="77777777" w:rsidR="00927F26" w:rsidRPr="007C2E92" w:rsidRDefault="00927F26" w:rsidP="00927F26">
      <w:pPr>
        <w:pBdr>
          <w:top w:val="nil"/>
          <w:left w:val="nil"/>
          <w:bottom w:val="nil"/>
          <w:right w:val="nil"/>
          <w:between w:val="nil"/>
        </w:pBdr>
        <w:spacing w:after="0" w:line="240" w:lineRule="auto"/>
        <w:ind w:left="1134" w:hanging="283"/>
        <w:rPr>
          <w:rFonts w:ascii="Arial" w:eastAsia="Arial" w:hAnsi="Arial" w:cs="Arial"/>
          <w:color w:val="000000"/>
          <w:sz w:val="24"/>
          <w:szCs w:val="24"/>
        </w:rPr>
      </w:pPr>
    </w:p>
    <w:p w14:paraId="2C7196D2"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Reglamento para la Emisión de Normativa Universitaria, alcance N°01 a la UNA-GACETA N°02-2025 al 24 de marzo de 2025.</w:t>
      </w:r>
    </w:p>
    <w:p w14:paraId="1CB3D36D"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39C2CDF8"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Reglamento de Cajas Chicas en la Universidad Nacional, alcance N°08 a la UNA-GACETA N°01-2025 al 10 de marzo de 2025, acuerdo del Consejo Universitario UNA-SCU-ACUE-085-2025.</w:t>
      </w:r>
    </w:p>
    <w:p w14:paraId="016486FA" w14:textId="77777777" w:rsidR="00927F26" w:rsidRPr="007C2E92" w:rsidRDefault="00927F26" w:rsidP="00927F26">
      <w:p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p>
    <w:p w14:paraId="089ADD2C" w14:textId="77777777" w:rsidR="00927F26" w:rsidRPr="007C2E92" w:rsidRDefault="00927F26" w:rsidP="00927F26">
      <w:pPr>
        <w:numPr>
          <w:ilvl w:val="0"/>
          <w:numId w:val="4"/>
        </w:numPr>
        <w:pBdr>
          <w:top w:val="nil"/>
          <w:left w:val="nil"/>
          <w:bottom w:val="nil"/>
          <w:right w:val="nil"/>
          <w:between w:val="nil"/>
        </w:pBdr>
        <w:spacing w:after="0" w:line="240" w:lineRule="auto"/>
        <w:ind w:left="1134" w:hanging="283"/>
        <w:jc w:val="both"/>
        <w:rPr>
          <w:rFonts w:ascii="Arial" w:eastAsia="Arial" w:hAnsi="Arial" w:cs="Arial"/>
          <w:color w:val="000000"/>
          <w:sz w:val="24"/>
          <w:szCs w:val="24"/>
        </w:rPr>
      </w:pPr>
      <w:r w:rsidRPr="007C2E92">
        <w:rPr>
          <w:rFonts w:ascii="Arial" w:eastAsia="Arial" w:hAnsi="Arial" w:cs="Arial"/>
          <w:color w:val="000000"/>
          <w:sz w:val="24"/>
          <w:szCs w:val="24"/>
        </w:rPr>
        <w:t xml:space="preserve">Reglamento del Sistema de Gestión del Activo Fijo de la Universidad Nacional, alcance </w:t>
      </w:r>
      <w:proofErr w:type="spellStart"/>
      <w:r w:rsidRPr="007C2E92">
        <w:rPr>
          <w:rFonts w:ascii="Arial" w:eastAsia="Arial" w:hAnsi="Arial" w:cs="Arial"/>
          <w:color w:val="000000"/>
          <w:sz w:val="24"/>
          <w:szCs w:val="24"/>
        </w:rPr>
        <w:t>N°</w:t>
      </w:r>
      <w:proofErr w:type="spellEnd"/>
      <w:r w:rsidRPr="007C2E92">
        <w:rPr>
          <w:rFonts w:ascii="Arial" w:eastAsia="Arial" w:hAnsi="Arial" w:cs="Arial"/>
          <w:color w:val="000000"/>
          <w:sz w:val="24"/>
          <w:szCs w:val="24"/>
        </w:rPr>
        <w:t xml:space="preserve"> 2 a la Gaceta 10-2023.</w:t>
      </w:r>
    </w:p>
    <w:p w14:paraId="382384E1" w14:textId="77777777" w:rsidR="00927F26" w:rsidRPr="007C2E92" w:rsidRDefault="00927F26" w:rsidP="00927F26">
      <w:pPr>
        <w:pBdr>
          <w:top w:val="nil"/>
          <w:left w:val="nil"/>
          <w:bottom w:val="nil"/>
          <w:right w:val="nil"/>
          <w:between w:val="nil"/>
        </w:pBdr>
        <w:spacing w:after="0" w:line="240" w:lineRule="auto"/>
        <w:ind w:left="1134" w:right="-660" w:hanging="283"/>
        <w:jc w:val="both"/>
        <w:rPr>
          <w:rFonts w:ascii="Arial" w:eastAsia="Arial" w:hAnsi="Arial" w:cs="Arial"/>
          <w:color w:val="000000"/>
          <w:sz w:val="24"/>
          <w:szCs w:val="24"/>
        </w:rPr>
      </w:pPr>
    </w:p>
    <w:p w14:paraId="45AD6AF1" w14:textId="77777777" w:rsidR="00927F26" w:rsidRPr="007C2E92" w:rsidRDefault="00927F26" w:rsidP="00927F26">
      <w:pPr>
        <w:numPr>
          <w:ilvl w:val="0"/>
          <w:numId w:val="4"/>
        </w:numPr>
        <w:pBdr>
          <w:top w:val="nil"/>
          <w:left w:val="nil"/>
          <w:bottom w:val="nil"/>
          <w:right w:val="nil"/>
          <w:between w:val="nil"/>
        </w:pBdr>
        <w:spacing w:after="0" w:line="240" w:lineRule="auto"/>
        <w:ind w:left="1134" w:right="49" w:hanging="283"/>
        <w:jc w:val="both"/>
        <w:rPr>
          <w:rFonts w:ascii="Arial" w:eastAsia="Arial" w:hAnsi="Arial" w:cs="Arial"/>
          <w:color w:val="000000"/>
          <w:sz w:val="24"/>
          <w:szCs w:val="24"/>
        </w:rPr>
      </w:pPr>
      <w:r w:rsidRPr="007C2E92">
        <w:rPr>
          <w:rFonts w:ascii="Arial" w:eastAsia="Arial" w:hAnsi="Arial" w:cs="Arial"/>
          <w:color w:val="000000"/>
          <w:sz w:val="24"/>
          <w:szCs w:val="24"/>
        </w:rPr>
        <w:t>Instrucción Rendición de cauciones en favor de la Universidad Nacional UNA-R-DISC-013-2024/UNA-VADM-DISC-001-2024 del 28 de octubre de 2024.</w:t>
      </w:r>
    </w:p>
    <w:p w14:paraId="28EC6E61" w14:textId="77777777" w:rsidR="00927F26" w:rsidRPr="007C2E92" w:rsidRDefault="00927F26" w:rsidP="00927F26">
      <w:pPr>
        <w:pBdr>
          <w:top w:val="nil"/>
          <w:left w:val="nil"/>
          <w:bottom w:val="nil"/>
          <w:right w:val="nil"/>
          <w:between w:val="nil"/>
        </w:pBdr>
        <w:spacing w:after="0" w:line="240" w:lineRule="auto"/>
        <w:jc w:val="both"/>
        <w:rPr>
          <w:rFonts w:ascii="Arial" w:eastAsia="Arial" w:hAnsi="Arial" w:cs="Arial"/>
          <w:sz w:val="24"/>
          <w:szCs w:val="24"/>
        </w:rPr>
      </w:pPr>
    </w:p>
    <w:p w14:paraId="11533604" w14:textId="77777777" w:rsidR="00927F26" w:rsidRPr="007C2E92" w:rsidRDefault="00927F26" w:rsidP="00927F26">
      <w:pPr>
        <w:numPr>
          <w:ilvl w:val="0"/>
          <w:numId w:val="9"/>
        </w:numPr>
        <w:pBdr>
          <w:top w:val="nil"/>
          <w:left w:val="nil"/>
          <w:bottom w:val="nil"/>
          <w:right w:val="nil"/>
          <w:between w:val="nil"/>
        </w:pBdr>
        <w:spacing w:after="0" w:line="240" w:lineRule="auto"/>
        <w:ind w:left="567" w:hanging="567"/>
        <w:jc w:val="both"/>
        <w:rPr>
          <w:rFonts w:ascii="Arial" w:eastAsia="Arial" w:hAnsi="Arial" w:cs="Arial"/>
          <w:color w:val="9CC2E5"/>
          <w:sz w:val="24"/>
          <w:szCs w:val="24"/>
        </w:rPr>
      </w:pPr>
      <w:r w:rsidRPr="007C2E92">
        <w:rPr>
          <w:rFonts w:ascii="Arial" w:eastAsia="Arial" w:hAnsi="Arial" w:cs="Arial"/>
          <w:b/>
          <w:color w:val="000000"/>
          <w:sz w:val="24"/>
          <w:szCs w:val="24"/>
        </w:rPr>
        <w:t>Glosario de términos</w:t>
      </w:r>
    </w:p>
    <w:p w14:paraId="404BE276"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Activo capitalizable:</w:t>
      </w:r>
      <w:r w:rsidRPr="007C2E92">
        <w:rPr>
          <w:rFonts w:ascii="Arial" w:eastAsia="Arial" w:hAnsi="Arial" w:cs="Arial"/>
          <w:color w:val="000000"/>
          <w:sz w:val="24"/>
          <w:szCs w:val="24"/>
        </w:rPr>
        <w:t xml:space="preserve"> Son aquellos activos fijos y elementos componentes, con vida útil mayor a un período económico y cuyo costo inicial sea igual o superior al parámetro económico establecido en el artículo 4 del Reglamento del Sistema de Gestión del Activo Fijo.</w:t>
      </w:r>
    </w:p>
    <w:p w14:paraId="3A3BACBF" w14:textId="77777777" w:rsidR="00927F26" w:rsidRPr="007C2E92" w:rsidRDefault="00927F26" w:rsidP="00927F26">
      <w:pPr>
        <w:pBdr>
          <w:top w:val="nil"/>
          <w:left w:val="nil"/>
          <w:bottom w:val="nil"/>
          <w:right w:val="nil"/>
          <w:between w:val="nil"/>
        </w:pBdr>
        <w:tabs>
          <w:tab w:val="left" w:pos="1290"/>
        </w:tabs>
        <w:spacing w:after="0" w:line="240" w:lineRule="auto"/>
        <w:ind w:left="993" w:hanging="142"/>
        <w:jc w:val="both"/>
        <w:rPr>
          <w:rFonts w:ascii="Arial" w:eastAsia="Arial" w:hAnsi="Arial" w:cs="Arial"/>
          <w:color w:val="000000"/>
          <w:sz w:val="24"/>
          <w:szCs w:val="24"/>
        </w:rPr>
      </w:pPr>
      <w:r w:rsidRPr="007C2E92">
        <w:rPr>
          <w:rFonts w:ascii="Arial" w:eastAsia="Arial" w:hAnsi="Arial" w:cs="Arial"/>
          <w:color w:val="000000"/>
          <w:sz w:val="24"/>
          <w:szCs w:val="24"/>
        </w:rPr>
        <w:tab/>
      </w:r>
    </w:p>
    <w:p w14:paraId="1E5EFA19"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Caja chica:</w:t>
      </w:r>
      <w:r w:rsidRPr="007C2E92">
        <w:rPr>
          <w:rFonts w:ascii="Arial" w:eastAsia="Arial" w:hAnsi="Arial" w:cs="Arial"/>
          <w:color w:val="000000"/>
          <w:sz w:val="24"/>
          <w:szCs w:val="24"/>
        </w:rPr>
        <w:t xml:space="preserve"> Es un recurso económico, en efectivo, de presupuesto de operación de la unidad ejecutora, que se autoriza anualmente para que esta pueda adquirir bienes, obras menores y servicios que sean para gastos menores indispensables e impostergables.</w:t>
      </w:r>
    </w:p>
    <w:p w14:paraId="3CAD5B56"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6195CC4E"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Catálogo de bienes y servicios:</w:t>
      </w:r>
      <w:r w:rsidRPr="007C2E92">
        <w:rPr>
          <w:rFonts w:ascii="Arial" w:eastAsia="Arial" w:hAnsi="Arial" w:cs="Arial"/>
          <w:color w:val="000000"/>
          <w:sz w:val="24"/>
          <w:szCs w:val="24"/>
        </w:rPr>
        <w:t xml:space="preserve"> Instrumento administrativo que clasifica y estandariza los bienes y servicios que la UNA puede adquirir. Su estructura, integrada al sistema ERP (SIGESA), facilita el control de gastos y garantiza la coherencia entre adquisiciones y presupuestos institucionales mediante códigos y especificaciones predefinidas.</w:t>
      </w:r>
    </w:p>
    <w:p w14:paraId="4ACBB2EA"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039B880A"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Compra indispensable e impostergable:</w:t>
      </w:r>
      <w:r w:rsidRPr="007C2E92">
        <w:rPr>
          <w:rFonts w:ascii="Arial" w:eastAsia="Arial" w:hAnsi="Arial" w:cs="Arial"/>
          <w:color w:val="000000"/>
          <w:sz w:val="24"/>
          <w:szCs w:val="24"/>
        </w:rPr>
        <w:t xml:space="preserve"> Corresponde a la adquisición de un bien, servicio u obra pública menor, de escaso monto, la cual no puede esperar la ejecución de un procedimiento ordinario y, en caso de no atenderse puede afectar actividades operativas o la continuidad de un servicio público.</w:t>
      </w:r>
    </w:p>
    <w:p w14:paraId="00BE909F" w14:textId="77777777" w:rsidR="00927F26" w:rsidRPr="007C2E92" w:rsidRDefault="00927F26" w:rsidP="00927F26">
      <w:pPr>
        <w:pBdr>
          <w:top w:val="nil"/>
          <w:left w:val="nil"/>
          <w:bottom w:val="nil"/>
          <w:right w:val="nil"/>
          <w:between w:val="nil"/>
        </w:pBdr>
        <w:spacing w:after="0" w:line="240" w:lineRule="auto"/>
        <w:ind w:hanging="2"/>
        <w:rPr>
          <w:rFonts w:ascii="Arial" w:eastAsia="Arial" w:hAnsi="Arial" w:cs="Arial"/>
          <w:color w:val="000000"/>
          <w:sz w:val="24"/>
          <w:szCs w:val="24"/>
        </w:rPr>
      </w:pPr>
    </w:p>
    <w:p w14:paraId="29BEE4F3"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Decisión inicial:</w:t>
      </w:r>
      <w:r w:rsidRPr="007C2E92">
        <w:rPr>
          <w:rFonts w:ascii="Arial" w:eastAsia="Arial" w:hAnsi="Arial" w:cs="Arial"/>
          <w:color w:val="000000"/>
          <w:sz w:val="24"/>
          <w:szCs w:val="24"/>
        </w:rPr>
        <w:t xml:space="preserve"> Es la decisión administrativa que formaliza el proceso de contratación administrativa por medio de la caja chica, como una excepción al procedimiento ordinario de contratación, según lo establecido </w:t>
      </w:r>
      <w:r w:rsidRPr="007C2E92">
        <w:rPr>
          <w:rFonts w:ascii="Arial" w:eastAsia="Arial" w:hAnsi="Arial" w:cs="Arial"/>
          <w:color w:val="000000"/>
          <w:sz w:val="24"/>
          <w:szCs w:val="24"/>
        </w:rPr>
        <w:lastRenderedPageBreak/>
        <w:t>en la Ley N°9986, artículo 4 (Requerimientos generales para el uso de las excepciones), ley delegada por el máximo jerarca de la Universidad Nacional. Su emisión es responsabilidad del titular subordinado de cada unidad ejecutora (persona responsable) en cada reintegro o liquidación de la caja chica, con la finalidad de acreditar la procedencia de utilizar la excepción respectiva y dejar constancia de los motivos legales, técnicos y financieros que convierten esta vía en la mejor para la satisfacción del interés público.</w:t>
      </w:r>
    </w:p>
    <w:p w14:paraId="1B62192B"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1D6C5243"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Necesidad:</w:t>
      </w:r>
      <w:r w:rsidRPr="007C2E92">
        <w:rPr>
          <w:rFonts w:ascii="Arial" w:eastAsia="Arial" w:hAnsi="Arial" w:cs="Arial"/>
          <w:color w:val="000000"/>
          <w:sz w:val="24"/>
          <w:szCs w:val="24"/>
        </w:rPr>
        <w:t xml:space="preserve"> Valoración llevada a cabo por la persona responsable de la caja chica sobre el requerimiento de activos y su objetivo de adquisición.</w:t>
      </w:r>
    </w:p>
    <w:p w14:paraId="5F9CA90B" w14:textId="77777777" w:rsidR="00927F26" w:rsidRPr="007C2E92" w:rsidRDefault="00927F26" w:rsidP="00927F26">
      <w:pPr>
        <w:pBdr>
          <w:top w:val="nil"/>
          <w:left w:val="nil"/>
          <w:bottom w:val="nil"/>
          <w:right w:val="nil"/>
          <w:between w:val="nil"/>
        </w:pBdr>
        <w:spacing w:after="0" w:line="240" w:lineRule="auto"/>
        <w:ind w:hanging="2"/>
        <w:rPr>
          <w:rFonts w:ascii="Arial" w:eastAsia="Arial" w:hAnsi="Arial" w:cs="Arial"/>
          <w:color w:val="000000"/>
          <w:sz w:val="24"/>
          <w:szCs w:val="24"/>
        </w:rPr>
      </w:pPr>
    </w:p>
    <w:p w14:paraId="180E053F"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Pantalla emergente:</w:t>
      </w:r>
      <w:r w:rsidRPr="007C2E92">
        <w:rPr>
          <w:rFonts w:ascii="Arial" w:eastAsia="Arial" w:hAnsi="Arial" w:cs="Arial"/>
          <w:color w:val="000000"/>
          <w:sz w:val="24"/>
          <w:szCs w:val="24"/>
        </w:rPr>
        <w:t xml:space="preserve"> Es una ventana temporal que aparece en el módulo Fondos de Trabajo del sistema SIGESA cuando se digita un código de bien tipo 5. Esto aplica únicamente si el monto es igual o superior al parámetro económico establecido en el artículo 4 del Reglamento del Sistema de Gestión del Activo Fijo y actualizado por el Programa de Gestión Financiera. En esta ventana, el usuario debe registrar la información correspondiente al activo fijo capitalizable adquirido.</w:t>
      </w:r>
    </w:p>
    <w:p w14:paraId="6CEBEF71"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324DACAD" w14:textId="77777777" w:rsidR="00927F26" w:rsidRPr="007C2E92" w:rsidRDefault="00927F26" w:rsidP="00927F26">
      <w:pPr>
        <w:widowControl w:val="0"/>
        <w:numPr>
          <w:ilvl w:val="0"/>
          <w:numId w:val="10"/>
        </w:numPr>
        <w:pBdr>
          <w:top w:val="nil"/>
          <w:left w:val="nil"/>
          <w:bottom w:val="nil"/>
          <w:right w:val="nil"/>
          <w:between w:val="nil"/>
        </w:pBdr>
        <w:tabs>
          <w:tab w:val="left" w:pos="-735"/>
        </w:tabs>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Persona encargada:</w:t>
      </w:r>
      <w:r w:rsidRPr="007C2E92">
        <w:rPr>
          <w:rFonts w:ascii="Arial" w:eastAsia="Arial" w:hAnsi="Arial" w:cs="Arial"/>
          <w:color w:val="000000"/>
          <w:sz w:val="24"/>
          <w:szCs w:val="24"/>
        </w:rPr>
        <w:t xml:space="preserve"> Es la persona designada formalmente para la administración de la caja chica.</w:t>
      </w:r>
    </w:p>
    <w:p w14:paraId="68E62E9B" w14:textId="77777777" w:rsidR="00927F26" w:rsidRPr="007C2E92" w:rsidRDefault="00927F26" w:rsidP="00927F26">
      <w:pPr>
        <w:widowControl w:val="0"/>
        <w:pBdr>
          <w:top w:val="nil"/>
          <w:left w:val="nil"/>
          <w:bottom w:val="nil"/>
          <w:right w:val="nil"/>
          <w:between w:val="nil"/>
        </w:pBdr>
        <w:tabs>
          <w:tab w:val="left" w:pos="-735"/>
        </w:tabs>
        <w:spacing w:after="0" w:line="240" w:lineRule="auto"/>
        <w:ind w:left="993" w:hanging="142"/>
        <w:jc w:val="both"/>
        <w:rPr>
          <w:rFonts w:ascii="Arial" w:eastAsia="Arial" w:hAnsi="Arial" w:cs="Arial"/>
          <w:color w:val="000000"/>
          <w:sz w:val="24"/>
          <w:szCs w:val="24"/>
        </w:rPr>
      </w:pPr>
    </w:p>
    <w:p w14:paraId="6196CE44"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Persona responsable de caja chica:</w:t>
      </w:r>
      <w:r w:rsidRPr="007C2E92">
        <w:rPr>
          <w:rFonts w:ascii="Arial" w:eastAsia="Arial" w:hAnsi="Arial" w:cs="Arial"/>
          <w:color w:val="000000"/>
          <w:sz w:val="24"/>
          <w:szCs w:val="24"/>
        </w:rPr>
        <w:t xml:space="preserve"> Es la persona de la unidad ejecutora de mayor jerarquía que figura como titular subordinado para responder por el uso adecuado de la caja chica. En el caso de la Federación de Estudiantes (FEUNA), se considera la persona que ejerza la presidencia del directorio como única responsable, según su estatuto orgánico.</w:t>
      </w:r>
    </w:p>
    <w:p w14:paraId="7173FE5C" w14:textId="77777777" w:rsidR="00927F26" w:rsidRPr="007C2E92" w:rsidRDefault="00927F26" w:rsidP="00927F26">
      <w:pPr>
        <w:pBdr>
          <w:top w:val="nil"/>
          <w:left w:val="nil"/>
          <w:bottom w:val="nil"/>
          <w:right w:val="nil"/>
          <w:between w:val="nil"/>
        </w:pBdr>
        <w:spacing w:after="0" w:line="240" w:lineRule="auto"/>
        <w:ind w:left="993"/>
        <w:jc w:val="both"/>
        <w:rPr>
          <w:rFonts w:ascii="Arial" w:eastAsia="Arial" w:hAnsi="Arial" w:cs="Arial"/>
          <w:color w:val="000000"/>
          <w:sz w:val="24"/>
          <w:szCs w:val="24"/>
        </w:rPr>
      </w:pPr>
    </w:p>
    <w:p w14:paraId="09F212B3"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 xml:space="preserve">Representante estudiantil responsable: </w:t>
      </w:r>
      <w:r w:rsidRPr="007C2E92">
        <w:rPr>
          <w:rFonts w:ascii="Arial" w:eastAsia="Arial" w:hAnsi="Arial" w:cs="Arial"/>
          <w:color w:val="000000"/>
          <w:sz w:val="24"/>
          <w:szCs w:val="24"/>
        </w:rPr>
        <w:t>Es todo representante estudiantil al que se le asigna uno o varios activos fijos para su custodia y uso directo en el desempeño de sus funciones normales dentro o fuera de la institución.</w:t>
      </w:r>
    </w:p>
    <w:p w14:paraId="26C4197F" w14:textId="77777777" w:rsidR="00927F26" w:rsidRPr="007C2E92" w:rsidRDefault="00927F26" w:rsidP="00927F26">
      <w:p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p>
    <w:p w14:paraId="4C12E704"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 xml:space="preserve">Responsable definitivo del activo capitalizable: </w:t>
      </w:r>
      <w:r w:rsidRPr="007C2E92">
        <w:rPr>
          <w:rFonts w:ascii="Arial" w:eastAsia="Arial" w:hAnsi="Arial" w:cs="Arial"/>
          <w:color w:val="000000"/>
          <w:sz w:val="24"/>
          <w:szCs w:val="24"/>
        </w:rPr>
        <w:t>Es todo funcionario universitario bajo relación laboral en propiedad o no propietaria y cualquier otro funcionario de la UNA que se vincule por una relación no laboral o representante estudiantil responsable al que se le asigna uno o varios activos fijos para su custodia y uso directo en el desempeño de sus funciones normales dentro o fuera de la institución.</w:t>
      </w:r>
    </w:p>
    <w:p w14:paraId="0C35620B" w14:textId="77777777" w:rsidR="00927F26" w:rsidRPr="007C2E92" w:rsidRDefault="00927F26" w:rsidP="00927F26">
      <w:p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p>
    <w:p w14:paraId="76FEEE73"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Responsable provisional del activo capitalizable:</w:t>
      </w:r>
      <w:r w:rsidRPr="007C2E92">
        <w:rPr>
          <w:rFonts w:ascii="Arial" w:eastAsia="Arial" w:hAnsi="Arial" w:cs="Arial"/>
          <w:color w:val="000000"/>
          <w:sz w:val="24"/>
          <w:szCs w:val="24"/>
        </w:rPr>
        <w:t xml:space="preserve"> Es la persona responsable de caja chica.</w:t>
      </w:r>
    </w:p>
    <w:p w14:paraId="2D0EA34C"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259B5548"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lastRenderedPageBreak/>
        <w:t xml:space="preserve">Sistema de Gestión Administrativa (SIGESA): </w:t>
      </w:r>
      <w:r w:rsidRPr="007C2E92">
        <w:rPr>
          <w:rFonts w:ascii="Arial" w:eastAsia="Arial" w:hAnsi="Arial" w:cs="Arial"/>
          <w:color w:val="000000"/>
          <w:sz w:val="24"/>
          <w:szCs w:val="24"/>
        </w:rPr>
        <w:t>Sistema de información que permite la articulación y la flexibilidad de diferentes procesos institucionales.</w:t>
      </w:r>
    </w:p>
    <w:p w14:paraId="5323673F" w14:textId="77777777" w:rsidR="00927F26" w:rsidRPr="007C2E92" w:rsidRDefault="00927F26" w:rsidP="00927F26">
      <w:pPr>
        <w:pBdr>
          <w:top w:val="nil"/>
          <w:left w:val="nil"/>
          <w:bottom w:val="nil"/>
          <w:right w:val="nil"/>
          <w:between w:val="nil"/>
        </w:pBdr>
        <w:spacing w:after="0" w:line="240" w:lineRule="auto"/>
        <w:ind w:hanging="2"/>
        <w:rPr>
          <w:rFonts w:ascii="Arial" w:eastAsia="Arial" w:hAnsi="Arial" w:cs="Arial"/>
          <w:color w:val="000000"/>
          <w:sz w:val="24"/>
          <w:szCs w:val="24"/>
        </w:rPr>
      </w:pPr>
    </w:p>
    <w:p w14:paraId="103CCFA7"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r w:rsidRPr="007C2E92">
        <w:rPr>
          <w:rFonts w:ascii="Arial" w:eastAsia="Arial" w:hAnsi="Arial" w:cs="Arial"/>
          <w:b/>
          <w:color w:val="000000"/>
          <w:sz w:val="24"/>
          <w:szCs w:val="24"/>
        </w:rPr>
        <w:t>UCAFS:</w:t>
      </w:r>
      <w:r w:rsidRPr="007C2E92">
        <w:rPr>
          <w:rFonts w:ascii="Arial" w:eastAsia="Arial" w:hAnsi="Arial" w:cs="Arial"/>
          <w:color w:val="000000"/>
          <w:sz w:val="24"/>
          <w:szCs w:val="24"/>
        </w:rPr>
        <w:t xml:space="preserve"> Es la Unidad de Control de Activos Fijos y Seguros, de la sección de Contabilidad, del Programa de Gestión Financiera.</w:t>
      </w:r>
    </w:p>
    <w:p w14:paraId="07F70580" w14:textId="77777777" w:rsidR="00927F26" w:rsidRPr="007C2E92" w:rsidRDefault="00927F26" w:rsidP="00927F26">
      <w:pPr>
        <w:spacing w:after="0" w:line="240" w:lineRule="auto"/>
        <w:ind w:left="993" w:hanging="142"/>
        <w:jc w:val="both"/>
        <w:rPr>
          <w:rFonts w:ascii="Arial" w:eastAsia="Arial" w:hAnsi="Arial" w:cs="Arial"/>
          <w:sz w:val="24"/>
          <w:szCs w:val="24"/>
        </w:rPr>
      </w:pPr>
    </w:p>
    <w:p w14:paraId="2A9AAC15" w14:textId="77777777" w:rsidR="00927F26" w:rsidRPr="007C2E92" w:rsidRDefault="00927F26" w:rsidP="00927F26">
      <w:pPr>
        <w:numPr>
          <w:ilvl w:val="0"/>
          <w:numId w:val="10"/>
        </w:numPr>
        <w:pBdr>
          <w:top w:val="nil"/>
          <w:left w:val="nil"/>
          <w:bottom w:val="nil"/>
          <w:right w:val="nil"/>
          <w:between w:val="nil"/>
        </w:pBdr>
        <w:spacing w:after="0" w:line="240" w:lineRule="auto"/>
        <w:ind w:left="993" w:hanging="142"/>
        <w:jc w:val="both"/>
        <w:rPr>
          <w:rFonts w:ascii="Arial" w:eastAsia="Arial" w:hAnsi="Arial" w:cs="Arial"/>
          <w:color w:val="000000"/>
          <w:sz w:val="24"/>
          <w:szCs w:val="24"/>
        </w:rPr>
      </w:pPr>
      <w:bookmarkStart w:id="1" w:name="_heading=h.30j0zll" w:colFirst="0" w:colLast="0"/>
      <w:bookmarkEnd w:id="1"/>
      <w:r w:rsidRPr="007C2E92">
        <w:rPr>
          <w:rFonts w:ascii="Arial" w:eastAsia="Arial" w:hAnsi="Arial" w:cs="Arial"/>
          <w:b/>
          <w:color w:val="000000"/>
          <w:sz w:val="24"/>
          <w:szCs w:val="24"/>
        </w:rPr>
        <w:t>Unidad Técnica Especializada (UTE):</w:t>
      </w:r>
      <w:r w:rsidRPr="007C2E92">
        <w:rPr>
          <w:rFonts w:ascii="Arial" w:eastAsia="Arial" w:hAnsi="Arial" w:cs="Arial"/>
          <w:color w:val="000000"/>
          <w:sz w:val="24"/>
          <w:szCs w:val="24"/>
        </w:rPr>
        <w:t xml:space="preserve"> Instancia de apoyo a la gestión académica y administrativa de la Universidad Nacional que tiene un nivel de especialización por materia que le permite brindar criterios técnicos sobre algunos objetos de contrato requeridos para satisfacer necesidades institucionales.</w:t>
      </w:r>
    </w:p>
    <w:p w14:paraId="0AC87E65" w14:textId="77777777" w:rsidR="00927F26" w:rsidRPr="007C2E92" w:rsidRDefault="00927F26" w:rsidP="00927F26">
      <w:pPr>
        <w:pBdr>
          <w:top w:val="nil"/>
          <w:left w:val="nil"/>
          <w:bottom w:val="nil"/>
          <w:right w:val="nil"/>
          <w:between w:val="nil"/>
        </w:pBdr>
        <w:spacing w:after="0" w:line="240" w:lineRule="auto"/>
        <w:jc w:val="both"/>
        <w:rPr>
          <w:rFonts w:ascii="Arial" w:eastAsia="Arial" w:hAnsi="Arial" w:cs="Arial"/>
          <w:color w:val="000000"/>
          <w:sz w:val="24"/>
          <w:szCs w:val="24"/>
        </w:rPr>
      </w:pPr>
    </w:p>
    <w:tbl>
      <w:tblPr>
        <w:tblW w:w="10769" w:type="dxa"/>
        <w:tblInd w:w="-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4"/>
        <w:gridCol w:w="5702"/>
        <w:gridCol w:w="2373"/>
      </w:tblGrid>
      <w:tr w:rsidR="00927F26" w:rsidRPr="007C2E92" w14:paraId="13A737D5" w14:textId="77777777" w:rsidTr="000566C1">
        <w:tc>
          <w:tcPr>
            <w:tcW w:w="10769" w:type="dxa"/>
            <w:gridSpan w:val="3"/>
            <w:tcBorders>
              <w:top w:val="single" w:sz="4" w:space="0" w:color="000000"/>
              <w:left w:val="single" w:sz="4" w:space="0" w:color="000000"/>
              <w:bottom w:val="single" w:sz="4" w:space="0" w:color="000000"/>
              <w:right w:val="single" w:sz="4" w:space="0" w:color="000000"/>
            </w:tcBorders>
            <w:vAlign w:val="center"/>
          </w:tcPr>
          <w:p w14:paraId="48A59739" w14:textId="77777777" w:rsidR="00927F26" w:rsidRPr="007C2E92" w:rsidRDefault="00927F26" w:rsidP="00927F26">
            <w:pPr>
              <w:numPr>
                <w:ilvl w:val="0"/>
                <w:numId w:val="9"/>
              </w:numPr>
              <w:pBdr>
                <w:top w:val="nil"/>
                <w:left w:val="nil"/>
                <w:bottom w:val="nil"/>
                <w:right w:val="nil"/>
                <w:between w:val="nil"/>
              </w:pBdr>
              <w:spacing w:after="0" w:line="240" w:lineRule="auto"/>
              <w:ind w:left="747" w:hanging="425"/>
              <w:jc w:val="both"/>
              <w:rPr>
                <w:rFonts w:ascii="Arial" w:eastAsia="Arial" w:hAnsi="Arial" w:cs="Arial"/>
                <w:color w:val="000000"/>
                <w:sz w:val="24"/>
                <w:szCs w:val="24"/>
              </w:rPr>
            </w:pPr>
            <w:r w:rsidRPr="007C2E92">
              <w:rPr>
                <w:rFonts w:ascii="Arial" w:eastAsia="Arial" w:hAnsi="Arial" w:cs="Arial"/>
                <w:b/>
                <w:color w:val="000000"/>
                <w:sz w:val="24"/>
                <w:szCs w:val="24"/>
              </w:rPr>
              <w:t>Descripción del procedimiento</w:t>
            </w:r>
          </w:p>
        </w:tc>
      </w:tr>
      <w:tr w:rsidR="00927F26" w:rsidRPr="007C2E92" w14:paraId="2339DCFD" w14:textId="77777777" w:rsidTr="000566C1">
        <w:tc>
          <w:tcPr>
            <w:tcW w:w="2694" w:type="dxa"/>
            <w:tcBorders>
              <w:top w:val="single" w:sz="4" w:space="0" w:color="000000"/>
              <w:left w:val="single" w:sz="4" w:space="0" w:color="000000"/>
              <w:bottom w:val="single" w:sz="4" w:space="0" w:color="000000"/>
            </w:tcBorders>
            <w:shd w:val="clear" w:color="auto" w:fill="C0C0C0"/>
            <w:vAlign w:val="center"/>
          </w:tcPr>
          <w:p w14:paraId="11159CDB" w14:textId="77777777" w:rsidR="00927F26" w:rsidRPr="007C2E92" w:rsidRDefault="00927F26" w:rsidP="000566C1">
            <w:pPr>
              <w:spacing w:after="0" w:line="240" w:lineRule="auto"/>
              <w:rPr>
                <w:rFonts w:ascii="Arial" w:eastAsia="Arial" w:hAnsi="Arial" w:cs="Arial"/>
                <w:color w:val="000000"/>
                <w:sz w:val="24"/>
                <w:szCs w:val="24"/>
              </w:rPr>
            </w:pPr>
            <w:r w:rsidRPr="007C2E92">
              <w:rPr>
                <w:rFonts w:ascii="Arial" w:eastAsia="Arial" w:hAnsi="Arial" w:cs="Arial"/>
                <w:sz w:val="24"/>
                <w:szCs w:val="24"/>
              </w:rPr>
              <w:t>Secuencia de etapas (a)</w:t>
            </w:r>
          </w:p>
        </w:tc>
        <w:tc>
          <w:tcPr>
            <w:tcW w:w="5702" w:type="dxa"/>
            <w:tcBorders>
              <w:top w:val="single" w:sz="4" w:space="0" w:color="000000"/>
              <w:left w:val="single" w:sz="4" w:space="0" w:color="000000"/>
              <w:bottom w:val="single" w:sz="4" w:space="0" w:color="000000"/>
            </w:tcBorders>
            <w:shd w:val="clear" w:color="auto" w:fill="C0C0C0"/>
            <w:vAlign w:val="center"/>
          </w:tcPr>
          <w:p w14:paraId="052F3310" w14:textId="77777777" w:rsidR="00927F26" w:rsidRPr="007C2E92" w:rsidRDefault="00927F26" w:rsidP="000566C1">
            <w:pPr>
              <w:spacing w:after="0" w:line="240" w:lineRule="auto"/>
              <w:rPr>
                <w:rFonts w:ascii="Arial" w:eastAsia="Arial" w:hAnsi="Arial" w:cs="Arial"/>
                <w:color w:val="000000"/>
                <w:sz w:val="24"/>
                <w:szCs w:val="24"/>
              </w:rPr>
            </w:pPr>
            <w:r w:rsidRPr="007C2E92">
              <w:rPr>
                <w:rFonts w:ascii="Arial" w:eastAsia="Arial" w:hAnsi="Arial" w:cs="Arial"/>
                <w:sz w:val="24"/>
                <w:szCs w:val="24"/>
              </w:rPr>
              <w:t>Descripción de actividades (b)</w:t>
            </w:r>
          </w:p>
        </w:tc>
        <w:tc>
          <w:tcPr>
            <w:tcW w:w="2373" w:type="dxa"/>
            <w:tcBorders>
              <w:top w:val="single" w:sz="4" w:space="0" w:color="000000"/>
              <w:left w:val="single" w:sz="4" w:space="0" w:color="000000"/>
              <w:bottom w:val="single" w:sz="4" w:space="0" w:color="000000"/>
              <w:right w:val="single" w:sz="4" w:space="0" w:color="000000"/>
            </w:tcBorders>
            <w:shd w:val="clear" w:color="auto" w:fill="C0C0C0"/>
            <w:vAlign w:val="center"/>
          </w:tcPr>
          <w:p w14:paraId="7EC69472" w14:textId="77777777" w:rsidR="00927F26" w:rsidRPr="007C2E92" w:rsidRDefault="00927F26" w:rsidP="000566C1">
            <w:pPr>
              <w:spacing w:after="0" w:line="240" w:lineRule="auto"/>
              <w:rPr>
                <w:rFonts w:ascii="Arial" w:eastAsia="Arial" w:hAnsi="Arial" w:cs="Arial"/>
                <w:color w:val="000000"/>
                <w:sz w:val="24"/>
                <w:szCs w:val="24"/>
              </w:rPr>
            </w:pPr>
            <w:r w:rsidRPr="007C2E92">
              <w:rPr>
                <w:rFonts w:ascii="Arial" w:eastAsia="Arial" w:hAnsi="Arial" w:cs="Arial"/>
                <w:sz w:val="24"/>
                <w:szCs w:val="24"/>
              </w:rPr>
              <w:t>Responsable (c)</w:t>
            </w:r>
          </w:p>
        </w:tc>
      </w:tr>
      <w:tr w:rsidR="00927F26" w:rsidRPr="007C2E92" w14:paraId="2629260A" w14:textId="77777777" w:rsidTr="000566C1">
        <w:trPr>
          <w:cantSplit/>
          <w:trHeight w:val="1290"/>
        </w:trPr>
        <w:tc>
          <w:tcPr>
            <w:tcW w:w="2694" w:type="dxa"/>
            <w:vMerge w:val="restart"/>
          </w:tcPr>
          <w:p w14:paraId="7DDFAE3F"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t>Actualiza el monto de capitalización.</w:t>
            </w:r>
          </w:p>
        </w:tc>
        <w:tc>
          <w:tcPr>
            <w:tcW w:w="5702" w:type="dxa"/>
          </w:tcPr>
          <w:p w14:paraId="092CAD03" w14:textId="77777777" w:rsidR="00927F26" w:rsidRPr="007C2E92" w:rsidRDefault="00927F26" w:rsidP="00927F26">
            <w:pPr>
              <w:numPr>
                <w:ilvl w:val="1"/>
                <w:numId w:val="7"/>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Actualiza el monto mínimo de capitalización conforme a lo establecido en el artículo 4 del Reglamento del Sistema de Gestión del Activo Fijo de la Universidad Nacional.</w:t>
            </w:r>
          </w:p>
        </w:tc>
        <w:tc>
          <w:tcPr>
            <w:tcW w:w="2373" w:type="dxa"/>
          </w:tcPr>
          <w:p w14:paraId="11F604F7" w14:textId="77777777" w:rsidR="00927F26" w:rsidRPr="007C2E92" w:rsidRDefault="00927F26" w:rsidP="000566C1">
            <w:pPr>
              <w:spacing w:after="0" w:line="240" w:lineRule="auto"/>
              <w:jc w:val="center"/>
              <w:rPr>
                <w:rFonts w:ascii="Arial" w:eastAsia="Arial" w:hAnsi="Arial" w:cs="Arial"/>
                <w:sz w:val="24"/>
                <w:szCs w:val="24"/>
              </w:rPr>
            </w:pPr>
            <w:r w:rsidRPr="007C2E92">
              <w:rPr>
                <w:rFonts w:ascii="Arial" w:eastAsia="Arial" w:hAnsi="Arial" w:cs="Arial"/>
                <w:color w:val="000000"/>
                <w:sz w:val="24"/>
                <w:szCs w:val="24"/>
              </w:rPr>
              <w:t>Persona coordinadora de la UCAFS</w:t>
            </w:r>
          </w:p>
        </w:tc>
      </w:tr>
      <w:tr w:rsidR="00927F26" w:rsidRPr="007C2E92" w14:paraId="3CA9D8AD" w14:textId="77777777" w:rsidTr="000566C1">
        <w:trPr>
          <w:cantSplit/>
          <w:trHeight w:val="413"/>
        </w:trPr>
        <w:tc>
          <w:tcPr>
            <w:tcW w:w="2694" w:type="dxa"/>
            <w:vMerge/>
          </w:tcPr>
          <w:p w14:paraId="13A50ADA"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5702" w:type="dxa"/>
          </w:tcPr>
          <w:p w14:paraId="3D9E1008" w14:textId="77777777" w:rsidR="00927F26" w:rsidRPr="007C2E92" w:rsidRDefault="00927F26" w:rsidP="00927F26">
            <w:pPr>
              <w:numPr>
                <w:ilvl w:val="1"/>
                <w:numId w:val="7"/>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Comunica anualmente </w:t>
            </w:r>
            <w:r w:rsidRPr="007C2E92">
              <w:rPr>
                <w:rFonts w:ascii="Arial" w:eastAsia="Arial" w:hAnsi="Arial" w:cs="Arial"/>
                <w:sz w:val="24"/>
                <w:szCs w:val="24"/>
                <w:highlight w:val="white"/>
              </w:rPr>
              <w:t>mediante</w:t>
            </w:r>
            <w:r w:rsidRPr="007C2E92">
              <w:rPr>
                <w:rFonts w:ascii="Arial" w:eastAsia="Arial" w:hAnsi="Arial" w:cs="Arial"/>
                <w:color w:val="000000"/>
                <w:sz w:val="24"/>
                <w:szCs w:val="24"/>
                <w:highlight w:val="white"/>
              </w:rPr>
              <w:t xml:space="preserve"> una </w:t>
            </w:r>
            <w:r w:rsidRPr="007C2E92">
              <w:rPr>
                <w:rFonts w:ascii="Arial" w:eastAsia="Arial" w:hAnsi="Arial" w:cs="Arial"/>
                <w:sz w:val="24"/>
                <w:szCs w:val="24"/>
                <w:highlight w:val="white"/>
              </w:rPr>
              <w:t>circular</w:t>
            </w:r>
            <w:r w:rsidRPr="007C2E92">
              <w:rPr>
                <w:rFonts w:ascii="Arial" w:eastAsia="Arial" w:hAnsi="Arial" w:cs="Arial"/>
                <w:color w:val="000000"/>
                <w:sz w:val="24"/>
                <w:szCs w:val="24"/>
                <w:highlight w:val="white"/>
              </w:rPr>
              <w:t xml:space="preserve"> el monto mínimo vigente para la capitalización de bienes</w:t>
            </w:r>
            <w:r w:rsidRPr="007C2E92">
              <w:rPr>
                <w:rFonts w:ascii="Arial" w:eastAsia="Arial" w:hAnsi="Arial" w:cs="Arial"/>
                <w:sz w:val="24"/>
                <w:szCs w:val="24"/>
                <w:highlight w:val="white"/>
              </w:rPr>
              <w:t>.</w:t>
            </w:r>
          </w:p>
          <w:p w14:paraId="73D9DDA4"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tcPr>
          <w:p w14:paraId="0818DB83" w14:textId="77777777" w:rsidR="00927F26" w:rsidRPr="007C2E92" w:rsidRDefault="00927F26" w:rsidP="000566C1">
            <w:pPr>
              <w:spacing w:after="0" w:line="240" w:lineRule="auto"/>
              <w:ind w:hanging="2"/>
              <w:jc w:val="center"/>
              <w:rPr>
                <w:rFonts w:ascii="Arial" w:eastAsia="Arial" w:hAnsi="Arial" w:cs="Arial"/>
                <w:sz w:val="24"/>
                <w:szCs w:val="24"/>
              </w:rPr>
            </w:pPr>
            <w:r w:rsidRPr="007C2E92">
              <w:rPr>
                <w:rFonts w:ascii="Arial" w:eastAsia="Arial" w:hAnsi="Arial" w:cs="Arial"/>
                <w:color w:val="000000"/>
                <w:sz w:val="24"/>
                <w:szCs w:val="24"/>
              </w:rPr>
              <w:t>Persona coordinadora de la UCAFS</w:t>
            </w:r>
          </w:p>
        </w:tc>
      </w:tr>
      <w:tr w:rsidR="00927F26" w:rsidRPr="007C2E92" w14:paraId="4C6BFFBF" w14:textId="77777777" w:rsidTr="000566C1">
        <w:trPr>
          <w:cantSplit/>
        </w:trPr>
        <w:tc>
          <w:tcPr>
            <w:tcW w:w="2694" w:type="dxa"/>
            <w:vMerge w:val="restart"/>
          </w:tcPr>
          <w:p w14:paraId="5AEA4581"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t>Adquiere activos capitalizables por medio de caja chica.</w:t>
            </w:r>
          </w:p>
        </w:tc>
        <w:tc>
          <w:tcPr>
            <w:tcW w:w="5702" w:type="dxa"/>
          </w:tcPr>
          <w:p w14:paraId="68794BD7" w14:textId="77777777" w:rsidR="00927F26" w:rsidRPr="007C2E92" w:rsidRDefault="00927F26" w:rsidP="00927F26">
            <w:pPr>
              <w:pStyle w:val="Prrafodelista"/>
              <w:numPr>
                <w:ilvl w:val="1"/>
                <w:numId w:val="6"/>
              </w:numPr>
              <w:pBdr>
                <w:top w:val="nil"/>
                <w:left w:val="nil"/>
                <w:bottom w:val="nil"/>
                <w:right w:val="nil"/>
                <w:between w:val="nil"/>
              </w:pBdr>
              <w:spacing w:after="0" w:line="240" w:lineRule="auto"/>
              <w:ind w:left="450"/>
              <w:jc w:val="both"/>
              <w:textAlignment w:val="top"/>
              <w:outlineLvl w:val="0"/>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Revisa el monto de capitalización comunicado por el PGF, con el fin de determinar si el activo que se pretende cumple con los criterios para ser considerado como capitalizable.</w:t>
            </w:r>
          </w:p>
          <w:p w14:paraId="105F591D" w14:textId="77777777" w:rsidR="00927F26" w:rsidRPr="007C2E92" w:rsidRDefault="00927F26" w:rsidP="000566C1">
            <w:pPr>
              <w:pStyle w:val="Prrafodelista"/>
              <w:pBdr>
                <w:top w:val="nil"/>
                <w:left w:val="nil"/>
                <w:bottom w:val="nil"/>
                <w:right w:val="nil"/>
                <w:between w:val="nil"/>
              </w:pBdr>
              <w:spacing w:after="0" w:line="240" w:lineRule="auto"/>
              <w:ind w:left="450"/>
              <w:jc w:val="both"/>
              <w:rPr>
                <w:rFonts w:ascii="Arial" w:eastAsia="Arial" w:hAnsi="Arial" w:cs="Arial"/>
                <w:color w:val="000000"/>
                <w:sz w:val="24"/>
                <w:szCs w:val="24"/>
                <w:highlight w:val="white"/>
              </w:rPr>
            </w:pPr>
          </w:p>
        </w:tc>
        <w:tc>
          <w:tcPr>
            <w:tcW w:w="2373" w:type="dxa"/>
            <w:vMerge w:val="restart"/>
          </w:tcPr>
          <w:p w14:paraId="34EA777E" w14:textId="77777777" w:rsidR="00927F26" w:rsidRPr="007C2E92" w:rsidRDefault="00927F26" w:rsidP="000566C1">
            <w:pPr>
              <w:spacing w:after="0" w:line="240" w:lineRule="auto"/>
              <w:jc w:val="center"/>
              <w:rPr>
                <w:rFonts w:ascii="Arial" w:eastAsia="Arial" w:hAnsi="Arial" w:cs="Arial"/>
                <w:color w:val="000000"/>
                <w:sz w:val="24"/>
                <w:szCs w:val="24"/>
              </w:rPr>
            </w:pPr>
          </w:p>
          <w:p w14:paraId="21F6DAF7" w14:textId="77777777" w:rsidR="00927F26" w:rsidRPr="007C2E92" w:rsidRDefault="00927F26" w:rsidP="000566C1">
            <w:pPr>
              <w:spacing w:after="0" w:line="240" w:lineRule="auto"/>
              <w:jc w:val="center"/>
              <w:rPr>
                <w:rFonts w:ascii="Arial" w:eastAsia="Arial" w:hAnsi="Arial" w:cs="Arial"/>
                <w:color w:val="000000"/>
                <w:sz w:val="24"/>
                <w:szCs w:val="24"/>
              </w:rPr>
            </w:pPr>
          </w:p>
          <w:p w14:paraId="163B066E" w14:textId="77777777" w:rsidR="00927F26" w:rsidRPr="007C2E92" w:rsidRDefault="00927F26" w:rsidP="000566C1">
            <w:pPr>
              <w:spacing w:after="0" w:line="240" w:lineRule="auto"/>
              <w:jc w:val="center"/>
              <w:rPr>
                <w:rFonts w:ascii="Arial" w:eastAsia="Arial" w:hAnsi="Arial" w:cs="Arial"/>
                <w:color w:val="000000"/>
                <w:sz w:val="24"/>
                <w:szCs w:val="24"/>
              </w:rPr>
            </w:pPr>
          </w:p>
          <w:p w14:paraId="7172757C" w14:textId="77777777" w:rsidR="00927F26" w:rsidRPr="007C2E92" w:rsidRDefault="00927F26" w:rsidP="000566C1">
            <w:pPr>
              <w:spacing w:after="0" w:line="240" w:lineRule="auto"/>
              <w:jc w:val="center"/>
              <w:rPr>
                <w:rFonts w:ascii="Arial" w:eastAsia="Arial" w:hAnsi="Arial" w:cs="Arial"/>
                <w:color w:val="000000"/>
                <w:sz w:val="24"/>
                <w:szCs w:val="24"/>
              </w:rPr>
            </w:pPr>
          </w:p>
          <w:p w14:paraId="4F1219D8" w14:textId="77777777" w:rsidR="00927F26" w:rsidRPr="007C2E92" w:rsidRDefault="00927F26" w:rsidP="000566C1">
            <w:pPr>
              <w:spacing w:after="0" w:line="240" w:lineRule="auto"/>
              <w:jc w:val="center"/>
              <w:rPr>
                <w:rFonts w:ascii="Arial" w:eastAsia="Arial" w:hAnsi="Arial" w:cs="Arial"/>
                <w:color w:val="000000"/>
                <w:sz w:val="24"/>
                <w:szCs w:val="24"/>
              </w:rPr>
            </w:pPr>
          </w:p>
          <w:p w14:paraId="047660CB"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encargada y persona responsable d</w:t>
            </w:r>
            <w:r w:rsidRPr="007C2E92">
              <w:rPr>
                <w:rFonts w:ascii="Arial" w:eastAsia="Arial" w:hAnsi="Arial" w:cs="Arial"/>
                <w:sz w:val="24"/>
                <w:szCs w:val="24"/>
              </w:rPr>
              <w:t xml:space="preserve">e la caja chica </w:t>
            </w:r>
          </w:p>
        </w:tc>
      </w:tr>
      <w:tr w:rsidR="00927F26" w:rsidRPr="007C2E92" w14:paraId="594EED1E" w14:textId="77777777" w:rsidTr="000566C1">
        <w:trPr>
          <w:cantSplit/>
        </w:trPr>
        <w:tc>
          <w:tcPr>
            <w:tcW w:w="2694" w:type="dxa"/>
            <w:vMerge/>
          </w:tcPr>
          <w:p w14:paraId="663F1E79"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1E80EADD"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Determina la necesidad de la compra del activo fijo capitalizable, en cumplimiento con lo estipulado en el Reglamento de Cajas Chicas de la Universidad Nacional y normativa vigente.</w:t>
            </w:r>
          </w:p>
          <w:p w14:paraId="52BEF122"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vMerge/>
          </w:tcPr>
          <w:p w14:paraId="02357ED2"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r>
      <w:tr w:rsidR="00927F26" w:rsidRPr="007C2E92" w14:paraId="07F5B183" w14:textId="77777777" w:rsidTr="000566C1">
        <w:trPr>
          <w:cantSplit/>
        </w:trPr>
        <w:tc>
          <w:tcPr>
            <w:tcW w:w="2694" w:type="dxa"/>
            <w:vMerge/>
          </w:tcPr>
          <w:p w14:paraId="43EB85E5"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3D7C858C"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Solicita, mediante oficio, el criterio técnico a la Unidad Técnica Especializada (UTE), cuando corresponda y previo a la compra del activo fijo capitalizable, indicando las características del bien o servicio por adquirir.</w:t>
            </w:r>
          </w:p>
          <w:p w14:paraId="6D1C2027"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vMerge/>
          </w:tcPr>
          <w:p w14:paraId="6B0A5F44"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r>
      <w:tr w:rsidR="00927F26" w:rsidRPr="007C2E92" w14:paraId="320A10CD" w14:textId="77777777" w:rsidTr="000566C1">
        <w:trPr>
          <w:cantSplit/>
        </w:trPr>
        <w:tc>
          <w:tcPr>
            <w:tcW w:w="2694" w:type="dxa"/>
            <w:vMerge/>
          </w:tcPr>
          <w:p w14:paraId="77A7A12A"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74DEB966"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Emite, mediante oficio, el aval del criterio técnico solicitado en el punto anterior.</w:t>
            </w:r>
          </w:p>
          <w:p w14:paraId="1F7B62B0"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tcPr>
          <w:p w14:paraId="5B85AB50"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encargada de la Unidad Técnica Especializada</w:t>
            </w:r>
          </w:p>
        </w:tc>
      </w:tr>
      <w:tr w:rsidR="00927F26" w:rsidRPr="007C2E92" w14:paraId="52941346" w14:textId="77777777" w:rsidTr="000566C1">
        <w:trPr>
          <w:cantSplit/>
        </w:trPr>
        <w:tc>
          <w:tcPr>
            <w:tcW w:w="2694" w:type="dxa"/>
            <w:vMerge/>
          </w:tcPr>
          <w:p w14:paraId="47336229"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1949A8FF"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71"/>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Ejecuta la compra del activo fijo capitalizable, por medio de la caja chica previamente </w:t>
            </w:r>
            <w:proofErr w:type="spellStart"/>
            <w:r w:rsidRPr="007C2E92">
              <w:rPr>
                <w:rFonts w:ascii="Arial" w:eastAsia="Arial" w:hAnsi="Arial" w:cs="Arial"/>
                <w:color w:val="000000"/>
                <w:sz w:val="24"/>
                <w:szCs w:val="24"/>
                <w:highlight w:val="white"/>
              </w:rPr>
              <w:t>aperturada</w:t>
            </w:r>
            <w:proofErr w:type="spellEnd"/>
            <w:r w:rsidRPr="007C2E92">
              <w:rPr>
                <w:rFonts w:ascii="Arial" w:eastAsia="Arial" w:hAnsi="Arial" w:cs="Arial"/>
                <w:color w:val="000000"/>
                <w:sz w:val="24"/>
                <w:szCs w:val="24"/>
                <w:highlight w:val="white"/>
              </w:rPr>
              <w:t>.</w:t>
            </w:r>
          </w:p>
          <w:p w14:paraId="39E4F9E8"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tcPr>
          <w:p w14:paraId="205406C2"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encargada de la caja chica</w:t>
            </w:r>
          </w:p>
        </w:tc>
      </w:tr>
      <w:tr w:rsidR="00927F26" w:rsidRPr="007C2E92" w14:paraId="1824BB83" w14:textId="77777777" w:rsidTr="000566C1">
        <w:trPr>
          <w:cantSplit/>
          <w:trHeight w:val="2087"/>
        </w:trPr>
        <w:tc>
          <w:tcPr>
            <w:tcW w:w="2694" w:type="dxa"/>
            <w:vMerge w:val="restart"/>
          </w:tcPr>
          <w:p w14:paraId="15B43342"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t>Incluye la información en el módulo Fondos de Trabajo de SIGESA y resguarda la garantía.</w:t>
            </w:r>
          </w:p>
        </w:tc>
        <w:tc>
          <w:tcPr>
            <w:tcW w:w="5702" w:type="dxa"/>
          </w:tcPr>
          <w:p w14:paraId="3D1F21C0"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Incluye en el módulo de Fondos de Trabajo del Sistema de Gestión Administrativa (SIGESA), el reintegro mensual o liquidación de la caja chica, según corresponda, incorporando en el registro copia de la factura de la compra, la documentación de respaldo, así como la garantía del activo fijo capitalizable adquirido. </w:t>
            </w:r>
          </w:p>
        </w:tc>
        <w:tc>
          <w:tcPr>
            <w:tcW w:w="2373" w:type="dxa"/>
            <w:vMerge w:val="restart"/>
          </w:tcPr>
          <w:p w14:paraId="6E5E941F" w14:textId="77777777" w:rsidR="00927F26" w:rsidRPr="007C2E92" w:rsidRDefault="00927F26" w:rsidP="000566C1">
            <w:pPr>
              <w:spacing w:after="0" w:line="240" w:lineRule="auto"/>
              <w:jc w:val="center"/>
              <w:rPr>
                <w:rFonts w:ascii="Arial" w:eastAsia="Arial" w:hAnsi="Arial" w:cs="Arial"/>
                <w:sz w:val="24"/>
                <w:szCs w:val="24"/>
              </w:rPr>
            </w:pPr>
            <w:r w:rsidRPr="007C2E92">
              <w:rPr>
                <w:rFonts w:ascii="Arial" w:eastAsia="Arial" w:hAnsi="Arial" w:cs="Arial"/>
                <w:color w:val="000000"/>
                <w:sz w:val="24"/>
                <w:szCs w:val="24"/>
              </w:rPr>
              <w:t>Persona encargada de la ca</w:t>
            </w:r>
            <w:r w:rsidRPr="007C2E92">
              <w:rPr>
                <w:rFonts w:ascii="Arial" w:eastAsia="Arial" w:hAnsi="Arial" w:cs="Arial"/>
                <w:sz w:val="24"/>
                <w:szCs w:val="24"/>
              </w:rPr>
              <w:t xml:space="preserve">ja chica </w:t>
            </w:r>
          </w:p>
          <w:p w14:paraId="3D654D24" w14:textId="77777777" w:rsidR="00927F26" w:rsidRPr="007C2E92" w:rsidRDefault="00927F26" w:rsidP="000566C1">
            <w:pPr>
              <w:spacing w:after="0" w:line="240" w:lineRule="auto"/>
              <w:jc w:val="center"/>
              <w:rPr>
                <w:rFonts w:ascii="Arial" w:eastAsia="Arial" w:hAnsi="Arial" w:cs="Arial"/>
                <w:sz w:val="24"/>
                <w:szCs w:val="24"/>
              </w:rPr>
            </w:pPr>
          </w:p>
          <w:p w14:paraId="724D3CDC" w14:textId="77777777" w:rsidR="00927F26" w:rsidRPr="007C2E92" w:rsidRDefault="00927F26" w:rsidP="000566C1">
            <w:pPr>
              <w:spacing w:after="0" w:line="240" w:lineRule="auto"/>
              <w:rPr>
                <w:rFonts w:ascii="Arial" w:eastAsia="Arial" w:hAnsi="Arial" w:cs="Arial"/>
                <w:sz w:val="24"/>
                <w:szCs w:val="24"/>
                <w:highlight w:val="cyan"/>
              </w:rPr>
            </w:pPr>
          </w:p>
        </w:tc>
      </w:tr>
      <w:tr w:rsidR="00927F26" w:rsidRPr="007C2E92" w14:paraId="256F75E0" w14:textId="77777777" w:rsidTr="000566C1">
        <w:trPr>
          <w:cantSplit/>
          <w:trHeight w:val="1965"/>
        </w:trPr>
        <w:tc>
          <w:tcPr>
            <w:tcW w:w="2694" w:type="dxa"/>
            <w:vMerge/>
          </w:tcPr>
          <w:p w14:paraId="543A402B"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59BC9892"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Completa en su totalidad la información requerida en la pantalla emergente, con la marca, modelo y serie, entre otros, cuando se trata de un código de material que inicia con 5 y cuyo monto sea igual o superior al parámetro económico establecido en el artículo 4 del Reglamento del Sistema de Gestión del Activo Fijo, el sistema SIGESA </w:t>
            </w:r>
            <w:r w:rsidRPr="007C2E92">
              <w:rPr>
                <w:rFonts w:ascii="Arial" w:eastAsia="Arial" w:hAnsi="Arial" w:cs="Arial"/>
                <w:sz w:val="24"/>
                <w:szCs w:val="24"/>
                <w:highlight w:val="white"/>
              </w:rPr>
              <w:t>l</w:t>
            </w:r>
            <w:r w:rsidRPr="007C2E92">
              <w:rPr>
                <w:rFonts w:ascii="Arial" w:eastAsia="Arial" w:hAnsi="Arial" w:cs="Arial"/>
                <w:color w:val="000000"/>
                <w:sz w:val="24"/>
                <w:szCs w:val="24"/>
                <w:highlight w:val="white"/>
              </w:rPr>
              <w:t xml:space="preserve">e asignará </w:t>
            </w:r>
            <w:r w:rsidRPr="007C2E92">
              <w:rPr>
                <w:rFonts w:ascii="Arial" w:eastAsia="Arial" w:hAnsi="Arial" w:cs="Arial"/>
                <w:sz w:val="24"/>
                <w:szCs w:val="24"/>
                <w:highlight w:val="white"/>
              </w:rPr>
              <w:t>automáticamente la responsabilidad provisional del activo a la persona responsable de la caja chica.</w:t>
            </w:r>
          </w:p>
          <w:p w14:paraId="333608E8"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p w14:paraId="3B008D64"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sz w:val="24"/>
                <w:szCs w:val="24"/>
                <w:highlight w:val="white"/>
              </w:rPr>
              <w:t>Resguarda el documento que respalda la garantía, en caso de que sea necesario aplicarla.</w:t>
            </w:r>
          </w:p>
          <w:p w14:paraId="1F3CF864" w14:textId="77777777" w:rsidR="00927F26" w:rsidRPr="007C2E92" w:rsidRDefault="00927F26" w:rsidP="000566C1">
            <w:pPr>
              <w:pBdr>
                <w:top w:val="nil"/>
                <w:left w:val="nil"/>
                <w:bottom w:val="nil"/>
                <w:right w:val="nil"/>
                <w:between w:val="nil"/>
              </w:pBdr>
              <w:spacing w:after="0" w:line="240" w:lineRule="auto"/>
              <w:jc w:val="both"/>
              <w:rPr>
                <w:rFonts w:ascii="Arial" w:eastAsia="Arial" w:hAnsi="Arial" w:cs="Arial"/>
                <w:color w:val="000000"/>
                <w:sz w:val="24"/>
                <w:szCs w:val="24"/>
                <w:highlight w:val="white"/>
              </w:rPr>
            </w:pPr>
          </w:p>
        </w:tc>
        <w:tc>
          <w:tcPr>
            <w:tcW w:w="2373" w:type="dxa"/>
            <w:vMerge/>
            <w:tcBorders>
              <w:top w:val="single" w:sz="4" w:space="0" w:color="auto"/>
            </w:tcBorders>
          </w:tcPr>
          <w:p w14:paraId="0111DD9D"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r>
      <w:tr w:rsidR="00927F26" w:rsidRPr="007C2E92" w14:paraId="08E8A462" w14:textId="77777777" w:rsidTr="000566C1">
        <w:trPr>
          <w:cantSplit/>
        </w:trPr>
        <w:tc>
          <w:tcPr>
            <w:tcW w:w="2694" w:type="dxa"/>
            <w:vMerge/>
          </w:tcPr>
          <w:p w14:paraId="4009E1CD" w14:textId="77777777" w:rsidR="00927F26" w:rsidRPr="007C2E92" w:rsidRDefault="00927F26" w:rsidP="000566C1">
            <w:pPr>
              <w:pBdr>
                <w:top w:val="nil"/>
                <w:left w:val="nil"/>
                <w:bottom w:val="nil"/>
                <w:right w:val="nil"/>
                <w:between w:val="nil"/>
              </w:pBdr>
              <w:spacing w:after="0" w:line="240" w:lineRule="auto"/>
              <w:ind w:left="322"/>
              <w:rPr>
                <w:rFonts w:ascii="Arial" w:eastAsia="Arial" w:hAnsi="Arial" w:cs="Arial"/>
                <w:color w:val="000000"/>
                <w:sz w:val="24"/>
                <w:szCs w:val="24"/>
              </w:rPr>
            </w:pPr>
          </w:p>
        </w:tc>
        <w:tc>
          <w:tcPr>
            <w:tcW w:w="5702" w:type="dxa"/>
            <w:tcBorders>
              <w:bottom w:val="single" w:sz="4" w:space="0" w:color="auto"/>
            </w:tcBorders>
          </w:tcPr>
          <w:p w14:paraId="56284921" w14:textId="77777777" w:rsidR="00927F26" w:rsidRPr="007C2E92" w:rsidRDefault="00927F26" w:rsidP="00927F26">
            <w:pPr>
              <w:numPr>
                <w:ilvl w:val="1"/>
                <w:numId w:val="6"/>
              </w:numP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rPr>
              <w:t>Aprueba el Fondo de Trabajo para que el estado del trámite pase al estado “Aprobado Unidad” y el Programa de Gestión Financiera pueda proceder con su revisión.</w:t>
            </w:r>
          </w:p>
          <w:p w14:paraId="628A5C70" w14:textId="77777777" w:rsidR="00927F26" w:rsidRPr="007C2E92" w:rsidRDefault="00927F26" w:rsidP="000566C1">
            <w:pPr>
              <w:pBdr>
                <w:top w:val="nil"/>
                <w:left w:val="nil"/>
                <w:bottom w:val="nil"/>
                <w:right w:val="nil"/>
                <w:between w:val="nil"/>
              </w:pBdr>
              <w:spacing w:after="0" w:line="240" w:lineRule="auto"/>
              <w:jc w:val="both"/>
              <w:rPr>
                <w:rFonts w:ascii="Arial" w:eastAsia="Arial" w:hAnsi="Arial" w:cs="Arial"/>
                <w:color w:val="000000"/>
                <w:sz w:val="24"/>
                <w:szCs w:val="24"/>
                <w:highlight w:val="white"/>
              </w:rPr>
            </w:pPr>
          </w:p>
        </w:tc>
        <w:tc>
          <w:tcPr>
            <w:tcW w:w="2373" w:type="dxa"/>
          </w:tcPr>
          <w:p w14:paraId="710932A4"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responsable de la caja chica</w:t>
            </w:r>
          </w:p>
        </w:tc>
      </w:tr>
      <w:tr w:rsidR="00927F26" w:rsidRPr="007C2E92" w14:paraId="1E86CE1A" w14:textId="77777777" w:rsidTr="000566C1">
        <w:trPr>
          <w:cantSplit/>
          <w:trHeight w:val="4589"/>
        </w:trPr>
        <w:tc>
          <w:tcPr>
            <w:tcW w:w="2694" w:type="dxa"/>
            <w:vMerge w:val="restart"/>
          </w:tcPr>
          <w:p w14:paraId="5FF6FF2B"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lastRenderedPageBreak/>
              <w:t xml:space="preserve">Analiza y aprueba el reintegro o la liquidación </w:t>
            </w:r>
            <w:r w:rsidRPr="007C2E92">
              <w:rPr>
                <w:rFonts w:ascii="Arial" w:eastAsia="Arial" w:hAnsi="Arial" w:cs="Arial"/>
                <w:color w:val="000000"/>
                <w:sz w:val="24"/>
                <w:szCs w:val="24"/>
                <w:highlight w:val="white"/>
              </w:rPr>
              <w:t>de la caja chica.</w:t>
            </w:r>
          </w:p>
        </w:tc>
        <w:tc>
          <w:tcPr>
            <w:tcW w:w="5702" w:type="dxa"/>
            <w:tcBorders>
              <w:bottom w:val="single" w:sz="4" w:space="0" w:color="auto"/>
            </w:tcBorders>
          </w:tcPr>
          <w:p w14:paraId="21A7FDF9"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Revisa en el sistema SIGESA la cuenta de gasto utilizada, así como los requisitos de la factura y la documentación correspondiente, asegurando el cumplimiento </w:t>
            </w:r>
            <w:r w:rsidRPr="007C2E92">
              <w:rPr>
                <w:rFonts w:ascii="Arial" w:eastAsia="Arial" w:hAnsi="Arial" w:cs="Arial"/>
                <w:sz w:val="24"/>
                <w:szCs w:val="24"/>
                <w:highlight w:val="white"/>
              </w:rPr>
              <w:t xml:space="preserve">de </w:t>
            </w:r>
            <w:r w:rsidRPr="007C2E92">
              <w:rPr>
                <w:rFonts w:ascii="Arial" w:eastAsia="Arial" w:hAnsi="Arial" w:cs="Arial"/>
                <w:color w:val="000000"/>
                <w:sz w:val="24"/>
                <w:szCs w:val="24"/>
                <w:highlight w:val="white"/>
              </w:rPr>
              <w:t>lo estipulado en el Reglamento de Cajas Chicas de la Universidad Nacional y normativa vigente que respaldan la compra del activo fijo capitalizable.</w:t>
            </w:r>
          </w:p>
          <w:p w14:paraId="44C6FBC5" w14:textId="77777777" w:rsidR="00927F26" w:rsidRPr="007C2E92" w:rsidRDefault="00927F26" w:rsidP="000566C1">
            <w:pPr>
              <w:spacing w:after="0" w:line="240" w:lineRule="auto"/>
              <w:jc w:val="both"/>
              <w:rPr>
                <w:rFonts w:ascii="Arial" w:eastAsia="Arial" w:hAnsi="Arial" w:cs="Arial"/>
                <w:color w:val="000000"/>
                <w:sz w:val="24"/>
                <w:szCs w:val="24"/>
                <w:highlight w:val="white"/>
              </w:rPr>
            </w:pPr>
          </w:p>
        </w:tc>
        <w:tc>
          <w:tcPr>
            <w:tcW w:w="2373" w:type="dxa"/>
          </w:tcPr>
          <w:p w14:paraId="20B584E4"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rPr>
              <w:t>T</w:t>
            </w:r>
            <w:r w:rsidRPr="007C2E92">
              <w:rPr>
                <w:rFonts w:ascii="Arial" w:eastAsia="Arial" w:hAnsi="Arial" w:cs="Arial"/>
                <w:color w:val="000000"/>
                <w:sz w:val="24"/>
                <w:szCs w:val="24"/>
                <w:highlight w:val="white"/>
              </w:rPr>
              <w:t xml:space="preserve">écnico </w:t>
            </w:r>
            <w:r w:rsidRPr="007C2E92">
              <w:rPr>
                <w:rFonts w:ascii="Arial" w:eastAsia="Arial" w:hAnsi="Arial" w:cs="Arial"/>
                <w:sz w:val="24"/>
                <w:szCs w:val="24"/>
                <w:highlight w:val="white"/>
              </w:rPr>
              <w:t>asistencial</w:t>
            </w:r>
            <w:r w:rsidRPr="007C2E92">
              <w:rPr>
                <w:rFonts w:ascii="Arial" w:eastAsia="Arial" w:hAnsi="Arial" w:cs="Arial"/>
                <w:color w:val="000000"/>
                <w:sz w:val="24"/>
                <w:szCs w:val="24"/>
                <w:highlight w:val="white"/>
              </w:rPr>
              <w:t xml:space="preserve"> de la Secci</w:t>
            </w:r>
            <w:r w:rsidRPr="007C2E92">
              <w:rPr>
                <w:rFonts w:ascii="Arial" w:eastAsia="Arial" w:hAnsi="Arial" w:cs="Arial"/>
                <w:sz w:val="24"/>
                <w:szCs w:val="24"/>
                <w:highlight w:val="white"/>
              </w:rPr>
              <w:t xml:space="preserve">ón </w:t>
            </w:r>
            <w:r w:rsidRPr="007C2E92">
              <w:rPr>
                <w:rFonts w:ascii="Arial" w:eastAsia="Arial" w:hAnsi="Arial" w:cs="Arial"/>
                <w:color w:val="000000"/>
                <w:sz w:val="24"/>
                <w:szCs w:val="24"/>
                <w:highlight w:val="white"/>
              </w:rPr>
              <w:t>de Tesorería (</w:t>
            </w:r>
            <w:r w:rsidRPr="007C2E92">
              <w:rPr>
                <w:rFonts w:ascii="Arial" w:eastAsia="Arial" w:hAnsi="Arial" w:cs="Arial"/>
                <w:sz w:val="24"/>
                <w:szCs w:val="24"/>
                <w:highlight w:val="white"/>
              </w:rPr>
              <w:t>ventanilla caja chica y viáticos)</w:t>
            </w:r>
            <w:r w:rsidRPr="007C2E92">
              <w:rPr>
                <w:rFonts w:ascii="Arial" w:eastAsia="Arial" w:hAnsi="Arial" w:cs="Arial"/>
                <w:color w:val="000000"/>
                <w:sz w:val="24"/>
                <w:szCs w:val="24"/>
                <w:highlight w:val="white"/>
              </w:rPr>
              <w:t xml:space="preserve"> </w:t>
            </w:r>
          </w:p>
          <w:p w14:paraId="6EB7EDE0"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p>
          <w:p w14:paraId="212D9C6B"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 Técnico </w:t>
            </w:r>
            <w:r w:rsidRPr="007C2E92">
              <w:rPr>
                <w:rFonts w:ascii="Arial" w:eastAsia="Arial" w:hAnsi="Arial" w:cs="Arial"/>
                <w:sz w:val="24"/>
                <w:szCs w:val="24"/>
                <w:highlight w:val="white"/>
              </w:rPr>
              <w:t>general de Contabilidad (área de pagos)</w:t>
            </w:r>
          </w:p>
          <w:p w14:paraId="6DD67A07"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p>
          <w:p w14:paraId="5814517B"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T</w:t>
            </w:r>
            <w:r w:rsidRPr="007C2E92">
              <w:rPr>
                <w:rFonts w:ascii="Arial" w:eastAsia="Arial" w:hAnsi="Arial" w:cs="Arial"/>
                <w:sz w:val="24"/>
                <w:szCs w:val="24"/>
                <w:highlight w:val="white"/>
              </w:rPr>
              <w:t xml:space="preserve">écnico general </w:t>
            </w:r>
            <w:proofErr w:type="gramStart"/>
            <w:r w:rsidRPr="007C2E92">
              <w:rPr>
                <w:rFonts w:ascii="Arial" w:eastAsia="Arial" w:hAnsi="Arial" w:cs="Arial"/>
                <w:sz w:val="24"/>
                <w:szCs w:val="24"/>
                <w:highlight w:val="white"/>
              </w:rPr>
              <w:t>y  especializado</w:t>
            </w:r>
            <w:proofErr w:type="gramEnd"/>
            <w:r w:rsidRPr="007C2E92">
              <w:rPr>
                <w:rFonts w:ascii="Arial" w:eastAsia="Arial" w:hAnsi="Arial" w:cs="Arial"/>
                <w:sz w:val="24"/>
                <w:szCs w:val="24"/>
                <w:highlight w:val="white"/>
              </w:rPr>
              <w:t xml:space="preserve"> de la </w:t>
            </w:r>
            <w:r w:rsidRPr="007C2E92">
              <w:rPr>
                <w:rFonts w:ascii="Arial" w:eastAsia="Arial" w:hAnsi="Arial" w:cs="Arial"/>
                <w:color w:val="000000"/>
                <w:sz w:val="24"/>
                <w:szCs w:val="24"/>
                <w:highlight w:val="white"/>
              </w:rPr>
              <w:t>Unidad Especializada (Sección de Presupuesto)</w:t>
            </w:r>
          </w:p>
        </w:tc>
      </w:tr>
      <w:tr w:rsidR="00927F26" w:rsidRPr="007C2E92" w14:paraId="0AA5B1F3" w14:textId="77777777" w:rsidTr="000566C1">
        <w:trPr>
          <w:cantSplit/>
        </w:trPr>
        <w:tc>
          <w:tcPr>
            <w:tcW w:w="2694" w:type="dxa"/>
            <w:vMerge/>
            <w:tcBorders>
              <w:right w:val="single" w:sz="4" w:space="0" w:color="auto"/>
            </w:tcBorders>
          </w:tcPr>
          <w:p w14:paraId="349D7CEF"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Borders>
              <w:top w:val="single" w:sz="4" w:space="0" w:color="auto"/>
              <w:left w:val="single" w:sz="4" w:space="0" w:color="auto"/>
              <w:bottom w:val="single" w:sz="4" w:space="0" w:color="auto"/>
              <w:right w:val="single" w:sz="4" w:space="0" w:color="auto"/>
            </w:tcBorders>
          </w:tcPr>
          <w:p w14:paraId="18CEAD3A"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Devuelve el trámite al estado de borrador, en caso de faltar algún insumo o requerir cambio en la cuenta presupuestaria o contable.</w:t>
            </w:r>
          </w:p>
          <w:p w14:paraId="4BD839B9"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p w14:paraId="412B5C21"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p w14:paraId="377A235F"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Comunica </w:t>
            </w:r>
            <w:r w:rsidRPr="007C2E92">
              <w:rPr>
                <w:rFonts w:ascii="Arial" w:eastAsia="Arial" w:hAnsi="Arial" w:cs="Arial"/>
                <w:sz w:val="24"/>
                <w:szCs w:val="24"/>
                <w:highlight w:val="white"/>
              </w:rPr>
              <w:t xml:space="preserve">automáticamente por medio del </w:t>
            </w:r>
            <w:proofErr w:type="gramStart"/>
            <w:r w:rsidRPr="007C2E92">
              <w:rPr>
                <w:rFonts w:ascii="Arial" w:eastAsia="Arial" w:hAnsi="Arial" w:cs="Arial"/>
                <w:sz w:val="24"/>
                <w:szCs w:val="24"/>
                <w:highlight w:val="white"/>
              </w:rPr>
              <w:t>sistema</w:t>
            </w:r>
            <w:r w:rsidRPr="007C2E92">
              <w:rPr>
                <w:rFonts w:ascii="Arial" w:eastAsia="Arial" w:hAnsi="Arial" w:cs="Arial"/>
                <w:color w:val="000000"/>
                <w:sz w:val="24"/>
                <w:szCs w:val="24"/>
                <w:highlight w:val="white"/>
              </w:rPr>
              <w:t xml:space="preserve">  a</w:t>
            </w:r>
            <w:proofErr w:type="gramEnd"/>
            <w:r w:rsidRPr="007C2E92">
              <w:rPr>
                <w:rFonts w:ascii="Arial" w:eastAsia="Arial" w:hAnsi="Arial" w:cs="Arial"/>
                <w:color w:val="000000"/>
                <w:sz w:val="24"/>
                <w:szCs w:val="24"/>
                <w:highlight w:val="white"/>
              </w:rPr>
              <w:t xml:space="preserve"> la persona encargada </w:t>
            </w:r>
            <w:r w:rsidRPr="007C2E92">
              <w:rPr>
                <w:rFonts w:ascii="Arial" w:eastAsia="Arial" w:hAnsi="Arial" w:cs="Arial"/>
                <w:sz w:val="24"/>
                <w:szCs w:val="24"/>
                <w:highlight w:val="white"/>
              </w:rPr>
              <w:t xml:space="preserve">de </w:t>
            </w:r>
            <w:r w:rsidRPr="007C2E92">
              <w:rPr>
                <w:rFonts w:ascii="Arial" w:eastAsia="Arial" w:hAnsi="Arial" w:cs="Arial"/>
                <w:color w:val="000000"/>
                <w:sz w:val="24"/>
                <w:szCs w:val="24"/>
                <w:highlight w:val="white"/>
              </w:rPr>
              <w:t>la c</w:t>
            </w:r>
            <w:r w:rsidRPr="007C2E92">
              <w:rPr>
                <w:rFonts w:ascii="Arial" w:eastAsia="Arial" w:hAnsi="Arial" w:cs="Arial"/>
                <w:sz w:val="24"/>
                <w:szCs w:val="24"/>
                <w:highlight w:val="white"/>
              </w:rPr>
              <w:t>aja chica</w:t>
            </w:r>
            <w:r w:rsidRPr="007C2E92">
              <w:rPr>
                <w:rFonts w:ascii="Arial" w:eastAsia="Arial" w:hAnsi="Arial" w:cs="Arial"/>
                <w:color w:val="000000"/>
                <w:sz w:val="24"/>
                <w:szCs w:val="24"/>
                <w:highlight w:val="white"/>
              </w:rPr>
              <w:t xml:space="preserve"> para su respectiva corrección.</w:t>
            </w:r>
          </w:p>
          <w:p w14:paraId="63ABD4FE" w14:textId="77777777" w:rsidR="00927F26" w:rsidRPr="007C2E92" w:rsidRDefault="00927F26" w:rsidP="000566C1">
            <w:pPr>
              <w:pBdr>
                <w:top w:val="nil"/>
                <w:left w:val="nil"/>
                <w:bottom w:val="nil"/>
                <w:right w:val="nil"/>
                <w:between w:val="nil"/>
              </w:pBdr>
              <w:spacing w:after="0" w:line="240" w:lineRule="auto"/>
              <w:jc w:val="both"/>
              <w:rPr>
                <w:rFonts w:ascii="Arial" w:eastAsia="Arial" w:hAnsi="Arial" w:cs="Arial"/>
                <w:color w:val="000000"/>
                <w:sz w:val="24"/>
                <w:szCs w:val="24"/>
                <w:highlight w:val="white"/>
              </w:rPr>
            </w:pPr>
          </w:p>
          <w:p w14:paraId="5216FA2D" w14:textId="77777777" w:rsidR="00927F26" w:rsidRPr="007C2E92" w:rsidRDefault="00927F26" w:rsidP="000566C1">
            <w:pPr>
              <w:pBdr>
                <w:top w:val="nil"/>
                <w:left w:val="nil"/>
                <w:bottom w:val="nil"/>
                <w:right w:val="nil"/>
                <w:between w:val="nil"/>
              </w:pBdr>
              <w:spacing w:after="0" w:line="240" w:lineRule="auto"/>
              <w:jc w:val="both"/>
              <w:rPr>
                <w:rFonts w:ascii="Arial" w:eastAsia="Arial" w:hAnsi="Arial" w:cs="Arial"/>
                <w:color w:val="000000"/>
                <w:sz w:val="24"/>
                <w:szCs w:val="24"/>
                <w:highlight w:val="white"/>
              </w:rPr>
            </w:pPr>
          </w:p>
        </w:tc>
        <w:tc>
          <w:tcPr>
            <w:tcW w:w="2373" w:type="dxa"/>
            <w:vMerge w:val="restart"/>
            <w:tcBorders>
              <w:left w:val="single" w:sz="4" w:space="0" w:color="auto"/>
            </w:tcBorders>
          </w:tcPr>
          <w:p w14:paraId="56886B62"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rPr>
              <w:t>T</w:t>
            </w:r>
            <w:r w:rsidRPr="007C2E92">
              <w:rPr>
                <w:rFonts w:ascii="Arial" w:eastAsia="Arial" w:hAnsi="Arial" w:cs="Arial"/>
                <w:color w:val="000000"/>
                <w:sz w:val="24"/>
                <w:szCs w:val="24"/>
                <w:highlight w:val="white"/>
              </w:rPr>
              <w:t xml:space="preserve">écnico </w:t>
            </w:r>
            <w:r w:rsidRPr="007C2E92">
              <w:rPr>
                <w:rFonts w:ascii="Arial" w:eastAsia="Arial" w:hAnsi="Arial" w:cs="Arial"/>
                <w:sz w:val="24"/>
                <w:szCs w:val="24"/>
                <w:highlight w:val="white"/>
              </w:rPr>
              <w:t>asistencial</w:t>
            </w:r>
            <w:r w:rsidRPr="007C2E92">
              <w:rPr>
                <w:rFonts w:ascii="Arial" w:eastAsia="Arial" w:hAnsi="Arial" w:cs="Arial"/>
                <w:color w:val="000000"/>
                <w:sz w:val="24"/>
                <w:szCs w:val="24"/>
                <w:highlight w:val="white"/>
              </w:rPr>
              <w:t xml:space="preserve"> de la Secci</w:t>
            </w:r>
            <w:r w:rsidRPr="007C2E92">
              <w:rPr>
                <w:rFonts w:ascii="Arial" w:eastAsia="Arial" w:hAnsi="Arial" w:cs="Arial"/>
                <w:sz w:val="24"/>
                <w:szCs w:val="24"/>
                <w:highlight w:val="white"/>
              </w:rPr>
              <w:t xml:space="preserve">ón </w:t>
            </w:r>
            <w:r w:rsidRPr="007C2E92">
              <w:rPr>
                <w:rFonts w:ascii="Arial" w:eastAsia="Arial" w:hAnsi="Arial" w:cs="Arial"/>
                <w:color w:val="000000"/>
                <w:sz w:val="24"/>
                <w:szCs w:val="24"/>
                <w:highlight w:val="white"/>
              </w:rPr>
              <w:t>de Tesorería (</w:t>
            </w:r>
            <w:r w:rsidRPr="007C2E92">
              <w:rPr>
                <w:rFonts w:ascii="Arial" w:eastAsia="Arial" w:hAnsi="Arial" w:cs="Arial"/>
                <w:sz w:val="24"/>
                <w:szCs w:val="24"/>
                <w:highlight w:val="white"/>
              </w:rPr>
              <w:t>ventanilla caja chica y viáticos)</w:t>
            </w:r>
            <w:r w:rsidRPr="007C2E92">
              <w:rPr>
                <w:rFonts w:ascii="Arial" w:eastAsia="Arial" w:hAnsi="Arial" w:cs="Arial"/>
                <w:color w:val="000000"/>
                <w:sz w:val="24"/>
                <w:szCs w:val="24"/>
                <w:highlight w:val="white"/>
              </w:rPr>
              <w:t xml:space="preserve"> </w:t>
            </w:r>
          </w:p>
          <w:p w14:paraId="4A8C830A"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p>
          <w:p w14:paraId="0B8BFAD1"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 xml:space="preserve"> Técnico </w:t>
            </w:r>
            <w:r w:rsidRPr="007C2E92">
              <w:rPr>
                <w:rFonts w:ascii="Arial" w:eastAsia="Arial" w:hAnsi="Arial" w:cs="Arial"/>
                <w:sz w:val="24"/>
                <w:szCs w:val="24"/>
                <w:highlight w:val="white"/>
              </w:rPr>
              <w:t>general de Contabilidad (área de pagos)</w:t>
            </w:r>
          </w:p>
          <w:p w14:paraId="1421D1C9"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p>
          <w:p w14:paraId="7079C5C9"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highlight w:val="white"/>
              </w:rPr>
              <w:t>T</w:t>
            </w:r>
            <w:r w:rsidRPr="007C2E92">
              <w:rPr>
                <w:rFonts w:ascii="Arial" w:eastAsia="Arial" w:hAnsi="Arial" w:cs="Arial"/>
                <w:sz w:val="24"/>
                <w:szCs w:val="24"/>
                <w:highlight w:val="white"/>
              </w:rPr>
              <w:t xml:space="preserve">écnico general </w:t>
            </w:r>
            <w:proofErr w:type="gramStart"/>
            <w:r w:rsidRPr="007C2E92">
              <w:rPr>
                <w:rFonts w:ascii="Arial" w:eastAsia="Arial" w:hAnsi="Arial" w:cs="Arial"/>
                <w:sz w:val="24"/>
                <w:szCs w:val="24"/>
                <w:highlight w:val="white"/>
              </w:rPr>
              <w:t>y  especializado</w:t>
            </w:r>
            <w:proofErr w:type="gramEnd"/>
            <w:r w:rsidRPr="007C2E92">
              <w:rPr>
                <w:rFonts w:ascii="Arial" w:eastAsia="Arial" w:hAnsi="Arial" w:cs="Arial"/>
                <w:sz w:val="24"/>
                <w:szCs w:val="24"/>
                <w:highlight w:val="white"/>
              </w:rPr>
              <w:t xml:space="preserve"> de la </w:t>
            </w:r>
            <w:r w:rsidRPr="007C2E92">
              <w:rPr>
                <w:rFonts w:ascii="Arial" w:eastAsia="Arial" w:hAnsi="Arial" w:cs="Arial"/>
                <w:color w:val="000000"/>
                <w:sz w:val="24"/>
                <w:szCs w:val="24"/>
                <w:highlight w:val="white"/>
              </w:rPr>
              <w:t>Unidad Especializada (Sección de Presupuesto)</w:t>
            </w:r>
            <w:r w:rsidRPr="007C2E92">
              <w:rPr>
                <w:rFonts w:ascii="Arial" w:eastAsia="Arial" w:hAnsi="Arial" w:cs="Arial"/>
                <w:color w:val="000000"/>
                <w:sz w:val="24"/>
                <w:szCs w:val="24"/>
                <w:highlight w:val="yellow"/>
              </w:rPr>
              <w:t xml:space="preserve"> </w:t>
            </w:r>
          </w:p>
        </w:tc>
      </w:tr>
      <w:tr w:rsidR="00927F26" w:rsidRPr="007C2E92" w14:paraId="3459A75D" w14:textId="77777777" w:rsidTr="000566C1">
        <w:trPr>
          <w:cantSplit/>
        </w:trPr>
        <w:tc>
          <w:tcPr>
            <w:tcW w:w="2694" w:type="dxa"/>
            <w:vMerge/>
            <w:tcBorders>
              <w:right w:val="single" w:sz="4" w:space="0" w:color="auto"/>
            </w:tcBorders>
          </w:tcPr>
          <w:p w14:paraId="11A8698F"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Borders>
              <w:top w:val="single" w:sz="4" w:space="0" w:color="auto"/>
              <w:left w:val="single" w:sz="4" w:space="0" w:color="auto"/>
              <w:bottom w:val="single" w:sz="4" w:space="0" w:color="auto"/>
              <w:right w:val="single" w:sz="4" w:space="0" w:color="auto"/>
            </w:tcBorders>
          </w:tcPr>
          <w:p w14:paraId="04E641DC"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highlight w:val="white"/>
              </w:rPr>
              <w:t>Aprueba en el sistema SIGESA el reintegro o liquidación de la caja chica, según corresponda,</w:t>
            </w:r>
            <w:r w:rsidRPr="007C2E92">
              <w:rPr>
                <w:rFonts w:ascii="Arial" w:eastAsia="Arial" w:hAnsi="Arial" w:cs="Arial"/>
                <w:color w:val="000000"/>
                <w:sz w:val="24"/>
                <w:szCs w:val="24"/>
              </w:rPr>
              <w:t xml:space="preserve"> una vez verificado el cumplimiento de la totalidad de los requisitos e insumos, junto con el trámite de compra de activo fijo capitalizable, lo que genera de forma automática los asientos contables, presupuestarios y la información correspondiente al activo capitalizable.</w:t>
            </w:r>
          </w:p>
          <w:p w14:paraId="10793D29"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vMerge/>
            <w:tcBorders>
              <w:left w:val="single" w:sz="4" w:space="0" w:color="auto"/>
            </w:tcBorders>
          </w:tcPr>
          <w:p w14:paraId="162C1621"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r>
      <w:tr w:rsidR="00927F26" w:rsidRPr="007C2E92" w14:paraId="5F0C4689" w14:textId="77777777" w:rsidTr="000566C1">
        <w:trPr>
          <w:cantSplit/>
          <w:trHeight w:val="3357"/>
        </w:trPr>
        <w:tc>
          <w:tcPr>
            <w:tcW w:w="2694" w:type="dxa"/>
            <w:vMerge w:val="restart"/>
          </w:tcPr>
          <w:p w14:paraId="6E76572D"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lastRenderedPageBreak/>
              <w:t>Emite las etiquetas e identifica físicamente los activ</w:t>
            </w:r>
            <w:r w:rsidRPr="007C2E92">
              <w:rPr>
                <w:rFonts w:ascii="Arial" w:eastAsia="Arial" w:hAnsi="Arial" w:cs="Arial"/>
                <w:color w:val="000000"/>
                <w:sz w:val="24"/>
                <w:szCs w:val="24"/>
                <w:highlight w:val="white"/>
              </w:rPr>
              <w:t xml:space="preserve">os capitalizables </w:t>
            </w:r>
            <w:r w:rsidRPr="007C2E92">
              <w:rPr>
                <w:rFonts w:ascii="Arial" w:eastAsia="Arial" w:hAnsi="Arial" w:cs="Arial"/>
                <w:color w:val="000000"/>
                <w:sz w:val="24"/>
                <w:szCs w:val="24"/>
              </w:rPr>
              <w:t>para el plaqueo.</w:t>
            </w:r>
          </w:p>
        </w:tc>
        <w:tc>
          <w:tcPr>
            <w:tcW w:w="5702" w:type="dxa"/>
            <w:tcBorders>
              <w:top w:val="single" w:sz="4" w:space="0" w:color="auto"/>
            </w:tcBorders>
          </w:tcPr>
          <w:p w14:paraId="4CFB429F" w14:textId="77777777" w:rsidR="00927F26" w:rsidRPr="007C2E92" w:rsidRDefault="00927F26" w:rsidP="00927F26">
            <w:pPr>
              <w:numPr>
                <w:ilvl w:val="1"/>
                <w:numId w:val="6"/>
              </w:numPr>
              <w:pBdr>
                <w:top w:val="nil"/>
                <w:left w:val="nil"/>
                <w:bottom w:val="nil"/>
                <w:right w:val="nil"/>
                <w:between w:val="nil"/>
              </w:pBdr>
              <w:spacing w:after="0" w:line="240" w:lineRule="auto"/>
              <w:ind w:left="466"/>
              <w:jc w:val="both"/>
              <w:rPr>
                <w:rFonts w:ascii="Arial" w:eastAsia="Arial" w:hAnsi="Arial" w:cs="Arial"/>
                <w:color w:val="000000"/>
                <w:sz w:val="24"/>
                <w:szCs w:val="24"/>
              </w:rPr>
            </w:pPr>
            <w:r w:rsidRPr="007C2E92">
              <w:rPr>
                <w:rFonts w:ascii="Arial" w:eastAsia="Arial" w:hAnsi="Arial" w:cs="Arial"/>
                <w:color w:val="000000"/>
                <w:sz w:val="24"/>
                <w:szCs w:val="24"/>
              </w:rPr>
              <w:t xml:space="preserve">Recibe la notificación automática del sistema SIGESA en los correos electrónicos </w:t>
            </w:r>
            <w:hyperlink r:id="rId12">
              <w:r w:rsidRPr="007C2E92">
                <w:rPr>
                  <w:rFonts w:ascii="Arial" w:eastAsia="Arial" w:hAnsi="Arial" w:cs="Arial"/>
                  <w:color w:val="0000FF"/>
                  <w:sz w:val="24"/>
                  <w:szCs w:val="24"/>
                  <w:u w:val="single"/>
                </w:rPr>
                <w:t>almacen@una.cr</w:t>
              </w:r>
            </w:hyperlink>
            <w:r w:rsidRPr="007C2E92">
              <w:rPr>
                <w:rFonts w:ascii="Arial" w:eastAsia="Arial" w:hAnsi="Arial" w:cs="Arial"/>
                <w:color w:val="000000"/>
                <w:sz w:val="24"/>
                <w:szCs w:val="24"/>
              </w:rPr>
              <w:t xml:space="preserve">, de la Proveeduría Institucional, y </w:t>
            </w:r>
            <w:hyperlink r:id="rId13">
              <w:r w:rsidRPr="007C2E92">
                <w:rPr>
                  <w:rFonts w:ascii="Arial" w:eastAsia="Arial" w:hAnsi="Arial" w:cs="Arial"/>
                  <w:color w:val="0000FF"/>
                  <w:sz w:val="24"/>
                  <w:szCs w:val="24"/>
                  <w:u w:val="single"/>
                </w:rPr>
                <w:t>contabilidad@una.cr</w:t>
              </w:r>
            </w:hyperlink>
            <w:r w:rsidRPr="007C2E92">
              <w:rPr>
                <w:rFonts w:ascii="Arial" w:eastAsia="Arial" w:hAnsi="Arial" w:cs="Arial"/>
                <w:color w:val="000000"/>
                <w:sz w:val="24"/>
                <w:szCs w:val="24"/>
              </w:rPr>
              <w:t>, del Programa de Gestión Financiera, en la que se informa sobre la necesidad de realizar el plaqueo del activo. Esta notificación debe recibirse únicamente cuando se trate de activos fijos capitalizables.</w:t>
            </w:r>
          </w:p>
        </w:tc>
        <w:tc>
          <w:tcPr>
            <w:tcW w:w="2373" w:type="dxa"/>
          </w:tcPr>
          <w:p w14:paraId="5E37AF8B" w14:textId="77777777" w:rsidR="00927F26" w:rsidRPr="007C2E92" w:rsidRDefault="00927F26" w:rsidP="000566C1">
            <w:pPr>
              <w:spacing w:after="0" w:line="240" w:lineRule="auto"/>
              <w:jc w:val="center"/>
              <w:rPr>
                <w:rFonts w:ascii="Arial" w:eastAsia="Arial" w:hAnsi="Arial" w:cs="Arial"/>
                <w:sz w:val="24"/>
                <w:szCs w:val="24"/>
              </w:rPr>
            </w:pPr>
            <w:r w:rsidRPr="007C2E92">
              <w:rPr>
                <w:rFonts w:ascii="Arial" w:eastAsia="Arial" w:hAnsi="Arial" w:cs="Arial"/>
                <w:sz w:val="24"/>
                <w:szCs w:val="24"/>
              </w:rPr>
              <w:t>Persona coordinadora de la Bodega (Proveeduría Institucional) (TEPI)</w:t>
            </w:r>
          </w:p>
          <w:p w14:paraId="195642E9" w14:textId="77777777" w:rsidR="00927F26" w:rsidRPr="007C2E92" w:rsidRDefault="00927F26" w:rsidP="000566C1">
            <w:pPr>
              <w:spacing w:after="0" w:line="240" w:lineRule="auto"/>
              <w:jc w:val="center"/>
              <w:rPr>
                <w:rFonts w:ascii="Arial" w:eastAsia="Arial" w:hAnsi="Arial" w:cs="Arial"/>
                <w:color w:val="000000"/>
                <w:sz w:val="24"/>
                <w:szCs w:val="24"/>
              </w:rPr>
            </w:pPr>
          </w:p>
          <w:p w14:paraId="1D51AF33" w14:textId="77777777" w:rsidR="00927F26" w:rsidRPr="007C2E92" w:rsidRDefault="00927F26" w:rsidP="000566C1">
            <w:pPr>
              <w:spacing w:after="0" w:line="240" w:lineRule="auto"/>
              <w:jc w:val="center"/>
              <w:rPr>
                <w:rFonts w:ascii="Arial" w:eastAsia="Arial" w:hAnsi="Arial" w:cs="Arial"/>
                <w:sz w:val="24"/>
                <w:szCs w:val="24"/>
                <w:highlight w:val="yellow"/>
              </w:rPr>
            </w:pPr>
            <w:r w:rsidRPr="007C2E92">
              <w:rPr>
                <w:rFonts w:ascii="Arial" w:eastAsia="Arial" w:hAnsi="Arial" w:cs="Arial"/>
                <w:sz w:val="24"/>
                <w:szCs w:val="24"/>
              </w:rPr>
              <w:t xml:space="preserve">Jefatura de la Sección de Contabilidad y </w:t>
            </w:r>
          </w:p>
          <w:p w14:paraId="61BB0719" w14:textId="77777777" w:rsidR="00927F26" w:rsidRPr="007C2E92" w:rsidRDefault="00927F26" w:rsidP="000566C1">
            <w:pPr>
              <w:spacing w:after="0" w:line="240" w:lineRule="auto"/>
              <w:jc w:val="center"/>
              <w:rPr>
                <w:rFonts w:ascii="Arial" w:eastAsia="Arial" w:hAnsi="Arial" w:cs="Arial"/>
                <w:sz w:val="24"/>
                <w:szCs w:val="24"/>
              </w:rPr>
            </w:pPr>
            <w:r w:rsidRPr="007C2E92">
              <w:rPr>
                <w:rFonts w:ascii="Arial" w:eastAsia="Arial" w:hAnsi="Arial" w:cs="Arial"/>
                <w:sz w:val="24"/>
                <w:szCs w:val="24"/>
                <w:highlight w:val="white"/>
              </w:rPr>
              <w:t xml:space="preserve">Persona coordinadora </w:t>
            </w:r>
            <w:r w:rsidRPr="007C2E92">
              <w:rPr>
                <w:rFonts w:ascii="Arial" w:eastAsia="Arial" w:hAnsi="Arial" w:cs="Arial"/>
                <w:sz w:val="24"/>
                <w:szCs w:val="24"/>
              </w:rPr>
              <w:t>de la UCAFS</w:t>
            </w:r>
          </w:p>
        </w:tc>
      </w:tr>
      <w:tr w:rsidR="00927F26" w:rsidRPr="007C2E92" w14:paraId="3335AF28" w14:textId="77777777" w:rsidTr="000566C1">
        <w:trPr>
          <w:cantSplit/>
        </w:trPr>
        <w:tc>
          <w:tcPr>
            <w:tcW w:w="2694" w:type="dxa"/>
            <w:vMerge/>
          </w:tcPr>
          <w:p w14:paraId="74FAEAA8"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590916A8"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rPr>
              <w:t>Procede a emitir el reporte de etiquetas para impresión, utilizando los parámetros requeridos.</w:t>
            </w:r>
          </w:p>
          <w:p w14:paraId="4CB70CF6"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vMerge w:val="restart"/>
          </w:tcPr>
          <w:p w14:paraId="257922B8"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coordinadora de la Bodega (Proveeduría Institucional) (TEPI)</w:t>
            </w:r>
          </w:p>
        </w:tc>
      </w:tr>
      <w:tr w:rsidR="00927F26" w:rsidRPr="007C2E92" w14:paraId="70915864" w14:textId="77777777" w:rsidTr="000566C1">
        <w:trPr>
          <w:cantSplit/>
        </w:trPr>
        <w:tc>
          <w:tcPr>
            <w:tcW w:w="2694" w:type="dxa"/>
            <w:vMerge/>
          </w:tcPr>
          <w:p w14:paraId="2D8D61DB"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23EFDD9C"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rPr>
              <w:t>Coordina con el responsable del activo capitaliza</w:t>
            </w:r>
            <w:r w:rsidRPr="007C2E92">
              <w:rPr>
                <w:rFonts w:ascii="Arial" w:eastAsia="Arial" w:hAnsi="Arial" w:cs="Arial"/>
                <w:color w:val="000000"/>
                <w:sz w:val="24"/>
                <w:szCs w:val="24"/>
                <w:highlight w:val="white"/>
              </w:rPr>
              <w:t xml:space="preserve">ble la visita al sitio </w:t>
            </w:r>
            <w:r w:rsidRPr="007C2E92">
              <w:rPr>
                <w:rFonts w:ascii="Arial" w:eastAsia="Arial" w:hAnsi="Arial" w:cs="Arial"/>
                <w:color w:val="000000"/>
                <w:sz w:val="24"/>
                <w:szCs w:val="24"/>
              </w:rPr>
              <w:t>para el respectivo plaqueo.</w:t>
            </w:r>
          </w:p>
          <w:p w14:paraId="44157559"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vMerge/>
          </w:tcPr>
          <w:p w14:paraId="0643C2B5"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r>
      <w:tr w:rsidR="00927F26" w:rsidRPr="007C2E92" w14:paraId="07814D4D" w14:textId="77777777" w:rsidTr="000566C1">
        <w:trPr>
          <w:cantSplit/>
        </w:trPr>
        <w:tc>
          <w:tcPr>
            <w:tcW w:w="2694" w:type="dxa"/>
            <w:vMerge/>
          </w:tcPr>
          <w:p w14:paraId="12F8EED7"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72EF60FB"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rPr>
              <w:t xml:space="preserve">Verifica físicamente los atributos y características (marca, modelo y serie, entre otros) del activo fijo capitalizable, en concordancia con la información suministrada por el usuario en el punto 3.2. </w:t>
            </w:r>
          </w:p>
          <w:p w14:paraId="646863D5"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p w14:paraId="13CADCE4" w14:textId="77777777" w:rsidR="00927F26" w:rsidRPr="007C2E92" w:rsidRDefault="00927F26" w:rsidP="00927F26">
            <w:pPr>
              <w:numPr>
                <w:ilvl w:val="0"/>
                <w:numId w:val="8"/>
              </w:numPr>
              <w:pBdr>
                <w:top w:val="nil"/>
                <w:left w:val="nil"/>
                <w:bottom w:val="nil"/>
                <w:right w:val="nil"/>
                <w:between w:val="nil"/>
              </w:pBdr>
              <w:spacing w:after="0" w:line="240" w:lineRule="auto"/>
              <w:ind w:left="756"/>
              <w:jc w:val="both"/>
              <w:rPr>
                <w:rFonts w:ascii="Arial" w:eastAsia="Arial" w:hAnsi="Arial" w:cs="Arial"/>
                <w:color w:val="000000"/>
                <w:sz w:val="24"/>
                <w:szCs w:val="24"/>
              </w:rPr>
            </w:pPr>
            <w:r w:rsidRPr="007C2E92">
              <w:rPr>
                <w:rFonts w:ascii="Arial" w:eastAsia="Arial" w:hAnsi="Arial" w:cs="Arial"/>
                <w:color w:val="000000"/>
                <w:sz w:val="24"/>
                <w:szCs w:val="24"/>
              </w:rPr>
              <w:t>En caso de verificación satisfactoria, procede con la colocación de la etiqueta.</w:t>
            </w:r>
          </w:p>
          <w:p w14:paraId="6888C9A1" w14:textId="77777777" w:rsidR="00927F26" w:rsidRPr="007C2E92" w:rsidRDefault="00927F26" w:rsidP="00927F26">
            <w:pPr>
              <w:numPr>
                <w:ilvl w:val="0"/>
                <w:numId w:val="8"/>
              </w:numPr>
              <w:pBdr>
                <w:top w:val="nil"/>
                <w:left w:val="nil"/>
                <w:bottom w:val="nil"/>
                <w:right w:val="nil"/>
                <w:between w:val="nil"/>
              </w:pBdr>
              <w:spacing w:after="0" w:line="240" w:lineRule="auto"/>
              <w:ind w:left="756"/>
              <w:jc w:val="both"/>
              <w:rPr>
                <w:rFonts w:ascii="Arial" w:eastAsia="Arial" w:hAnsi="Arial" w:cs="Arial"/>
                <w:color w:val="000000"/>
                <w:sz w:val="24"/>
                <w:szCs w:val="24"/>
              </w:rPr>
            </w:pPr>
            <w:r w:rsidRPr="007C2E92">
              <w:rPr>
                <w:rFonts w:ascii="Arial" w:eastAsia="Arial" w:hAnsi="Arial" w:cs="Arial"/>
                <w:color w:val="000000"/>
                <w:sz w:val="24"/>
                <w:szCs w:val="24"/>
              </w:rPr>
              <w:t>En caso contrario, no se coloca la etiqueta y se informa al administrador del almacén lo correspondiente.</w:t>
            </w:r>
          </w:p>
          <w:p w14:paraId="62AC052B" w14:textId="77777777" w:rsidR="00927F26" w:rsidRPr="007C2E92" w:rsidRDefault="00927F26" w:rsidP="000566C1">
            <w:pPr>
              <w:pBdr>
                <w:top w:val="nil"/>
                <w:left w:val="nil"/>
                <w:bottom w:val="nil"/>
                <w:right w:val="nil"/>
                <w:between w:val="nil"/>
              </w:pBdr>
              <w:spacing w:after="0" w:line="240" w:lineRule="auto"/>
              <w:ind w:left="756"/>
              <w:jc w:val="both"/>
              <w:rPr>
                <w:rFonts w:ascii="Arial" w:eastAsia="Arial" w:hAnsi="Arial" w:cs="Arial"/>
                <w:color w:val="000000"/>
                <w:sz w:val="24"/>
                <w:szCs w:val="24"/>
              </w:rPr>
            </w:pPr>
          </w:p>
        </w:tc>
        <w:tc>
          <w:tcPr>
            <w:tcW w:w="2373" w:type="dxa"/>
          </w:tcPr>
          <w:p w14:paraId="7C4F4119"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Bodeguero (Proveeduría Institucional (TAPI)</w:t>
            </w:r>
          </w:p>
        </w:tc>
      </w:tr>
      <w:tr w:rsidR="00927F26" w:rsidRPr="007C2E92" w14:paraId="408D7F64" w14:textId="77777777" w:rsidTr="000566C1">
        <w:trPr>
          <w:cantSplit/>
        </w:trPr>
        <w:tc>
          <w:tcPr>
            <w:tcW w:w="2694" w:type="dxa"/>
            <w:vMerge/>
          </w:tcPr>
          <w:p w14:paraId="067F4823"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5BFF0CED"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highlight w:val="white"/>
              </w:rPr>
              <w:t>Notifica el motivo por el cual no se colocó la etiqueta al activo capitalizable,</w:t>
            </w:r>
            <w:r w:rsidRPr="007C2E92">
              <w:rPr>
                <w:rFonts w:ascii="Arial" w:eastAsia="Arial" w:hAnsi="Arial" w:cs="Arial"/>
                <w:color w:val="000000"/>
                <w:sz w:val="24"/>
                <w:szCs w:val="24"/>
              </w:rPr>
              <w:t xml:space="preserve"> mediante correo electrónico, al responsable del activo y a la persona responsable, con copia a la jefatura de la Sección de Contabilidad y coordinación de la UCAFS y a la vez, solicita la justificación o subsanación de esta.</w:t>
            </w:r>
          </w:p>
          <w:p w14:paraId="629FD25D"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tcPr>
          <w:p w14:paraId="285613B3" w14:textId="77777777" w:rsidR="00927F26" w:rsidRPr="007C2E92" w:rsidRDefault="00927F26" w:rsidP="000566C1">
            <w:pPr>
              <w:spacing w:after="0" w:line="240" w:lineRule="auto"/>
              <w:jc w:val="center"/>
              <w:rPr>
                <w:rFonts w:ascii="Arial" w:eastAsia="Arial" w:hAnsi="Arial" w:cs="Arial"/>
                <w:color w:val="000000"/>
                <w:sz w:val="24"/>
                <w:szCs w:val="24"/>
              </w:rPr>
            </w:pPr>
          </w:p>
          <w:p w14:paraId="093E92AC"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Administrador del Almacén Institucional</w:t>
            </w:r>
          </w:p>
        </w:tc>
      </w:tr>
      <w:tr w:rsidR="00927F26" w:rsidRPr="007C2E92" w14:paraId="52D5068E" w14:textId="77777777" w:rsidTr="000566C1">
        <w:trPr>
          <w:cantSplit/>
        </w:trPr>
        <w:tc>
          <w:tcPr>
            <w:tcW w:w="2694" w:type="dxa"/>
            <w:vMerge/>
          </w:tcPr>
          <w:p w14:paraId="0F5CEDEE"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7B208BB0"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highlight w:val="white"/>
              </w:rPr>
              <w:t xml:space="preserve">Informa mediante correo electrónico </w:t>
            </w:r>
            <w:r w:rsidRPr="007C2E92">
              <w:rPr>
                <w:rFonts w:ascii="Arial" w:eastAsia="Arial" w:hAnsi="Arial" w:cs="Arial"/>
                <w:color w:val="000000"/>
                <w:sz w:val="24"/>
                <w:szCs w:val="24"/>
              </w:rPr>
              <w:t>al administrador del almacén sobre lo solicitado en el punto 5.5 con la justificación o subsanación y respaldos respectivos, con copia a la jefatura de la Sección de Contabilidad y coordinación de la UCAFS.</w:t>
            </w:r>
          </w:p>
          <w:p w14:paraId="2A9BE30A"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tcPr>
          <w:p w14:paraId="3961B31A"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rPr>
              <w:t>P</w:t>
            </w:r>
            <w:r w:rsidRPr="007C2E92">
              <w:rPr>
                <w:rFonts w:ascii="Arial" w:eastAsia="Arial" w:hAnsi="Arial" w:cs="Arial"/>
                <w:color w:val="000000"/>
                <w:sz w:val="24"/>
                <w:szCs w:val="24"/>
                <w:highlight w:val="white"/>
              </w:rPr>
              <w:t xml:space="preserve">ersona </w:t>
            </w:r>
            <w:r w:rsidRPr="007C2E92">
              <w:rPr>
                <w:rFonts w:ascii="Arial" w:eastAsia="Arial" w:hAnsi="Arial" w:cs="Arial"/>
                <w:sz w:val="24"/>
                <w:szCs w:val="24"/>
                <w:highlight w:val="white"/>
              </w:rPr>
              <w:t xml:space="preserve">responsable </w:t>
            </w:r>
            <w:proofErr w:type="gramStart"/>
            <w:r w:rsidRPr="007C2E92">
              <w:rPr>
                <w:rFonts w:ascii="Arial" w:eastAsia="Arial" w:hAnsi="Arial" w:cs="Arial"/>
                <w:sz w:val="24"/>
                <w:szCs w:val="24"/>
                <w:highlight w:val="white"/>
              </w:rPr>
              <w:t xml:space="preserve">o </w:t>
            </w:r>
            <w:r w:rsidRPr="007C2E92">
              <w:rPr>
                <w:rFonts w:ascii="Arial" w:eastAsia="Arial" w:hAnsi="Arial" w:cs="Arial"/>
                <w:color w:val="000000"/>
                <w:sz w:val="24"/>
                <w:szCs w:val="24"/>
                <w:highlight w:val="white"/>
              </w:rPr>
              <w:t xml:space="preserve"> perso</w:t>
            </w:r>
            <w:r w:rsidRPr="007C2E92">
              <w:rPr>
                <w:rFonts w:ascii="Arial" w:eastAsia="Arial" w:hAnsi="Arial" w:cs="Arial"/>
                <w:sz w:val="24"/>
                <w:szCs w:val="24"/>
                <w:highlight w:val="white"/>
              </w:rPr>
              <w:t>na</w:t>
            </w:r>
            <w:proofErr w:type="gramEnd"/>
            <w:r w:rsidRPr="007C2E92">
              <w:rPr>
                <w:rFonts w:ascii="Arial" w:eastAsia="Arial" w:hAnsi="Arial" w:cs="Arial"/>
                <w:color w:val="000000"/>
                <w:sz w:val="24"/>
                <w:szCs w:val="24"/>
                <w:highlight w:val="white"/>
              </w:rPr>
              <w:t xml:space="preserve"> encargada de</w:t>
            </w:r>
            <w:r w:rsidRPr="007C2E92">
              <w:rPr>
                <w:rFonts w:ascii="Arial" w:eastAsia="Arial" w:hAnsi="Arial" w:cs="Arial"/>
                <w:sz w:val="24"/>
                <w:szCs w:val="24"/>
                <w:highlight w:val="white"/>
              </w:rPr>
              <w:t xml:space="preserve"> la caja chica</w:t>
            </w:r>
          </w:p>
          <w:p w14:paraId="7420B652" w14:textId="77777777" w:rsidR="00927F26" w:rsidRPr="007C2E92" w:rsidRDefault="00927F26" w:rsidP="000566C1">
            <w:pPr>
              <w:spacing w:after="0" w:line="240" w:lineRule="auto"/>
              <w:jc w:val="center"/>
              <w:rPr>
                <w:rFonts w:ascii="Arial" w:eastAsia="Arial" w:hAnsi="Arial" w:cs="Arial"/>
                <w:color w:val="000000"/>
                <w:sz w:val="24"/>
                <w:szCs w:val="24"/>
              </w:rPr>
            </w:pPr>
          </w:p>
          <w:p w14:paraId="25FF6BBD" w14:textId="77777777" w:rsidR="00927F26" w:rsidRPr="007C2E92" w:rsidRDefault="00927F26" w:rsidP="000566C1">
            <w:pPr>
              <w:spacing w:after="0" w:line="240" w:lineRule="auto"/>
              <w:jc w:val="center"/>
              <w:rPr>
                <w:rFonts w:ascii="Arial" w:eastAsia="Arial" w:hAnsi="Arial" w:cs="Arial"/>
                <w:color w:val="000000"/>
                <w:sz w:val="24"/>
                <w:szCs w:val="24"/>
              </w:rPr>
            </w:pPr>
          </w:p>
        </w:tc>
      </w:tr>
      <w:tr w:rsidR="00927F26" w:rsidRPr="007C2E92" w14:paraId="48B28FEE" w14:textId="77777777" w:rsidTr="000566C1">
        <w:trPr>
          <w:cantSplit/>
        </w:trPr>
        <w:tc>
          <w:tcPr>
            <w:tcW w:w="2694" w:type="dxa"/>
            <w:vMerge/>
          </w:tcPr>
          <w:p w14:paraId="516947B5"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4EF0C797"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Analiza la justificación o subsanación emitida en la respuesta del punto 5.6 por parte de la persona respons</w:t>
            </w:r>
            <w:r w:rsidRPr="007C2E92">
              <w:rPr>
                <w:rFonts w:ascii="Arial" w:eastAsia="Arial" w:hAnsi="Arial" w:cs="Arial"/>
                <w:sz w:val="24"/>
                <w:szCs w:val="24"/>
                <w:highlight w:val="white"/>
              </w:rPr>
              <w:t xml:space="preserve">able o </w:t>
            </w:r>
            <w:r w:rsidRPr="007C2E92">
              <w:rPr>
                <w:rFonts w:ascii="Arial" w:eastAsia="Arial" w:hAnsi="Arial" w:cs="Arial"/>
                <w:color w:val="000000"/>
                <w:sz w:val="24"/>
                <w:szCs w:val="24"/>
                <w:highlight w:val="white"/>
              </w:rPr>
              <w:t xml:space="preserve">encargada de la caja chica y </w:t>
            </w:r>
            <w:r w:rsidRPr="007C2E92">
              <w:rPr>
                <w:rFonts w:ascii="Arial" w:eastAsia="Arial" w:hAnsi="Arial" w:cs="Arial"/>
                <w:sz w:val="24"/>
                <w:szCs w:val="24"/>
                <w:highlight w:val="white"/>
              </w:rPr>
              <w:t>procede</w:t>
            </w:r>
            <w:r w:rsidRPr="007C2E92">
              <w:rPr>
                <w:rFonts w:ascii="Arial" w:eastAsia="Arial" w:hAnsi="Arial" w:cs="Arial"/>
                <w:color w:val="000000"/>
                <w:sz w:val="24"/>
                <w:szCs w:val="24"/>
                <w:highlight w:val="white"/>
              </w:rPr>
              <w:t xml:space="preserve"> de la siguiente manera:</w:t>
            </w:r>
          </w:p>
          <w:p w14:paraId="0625C7B9" w14:textId="77777777" w:rsidR="00927F26" w:rsidRPr="007C2E92" w:rsidRDefault="00927F26" w:rsidP="000566C1">
            <w:pPr>
              <w:spacing w:after="0" w:line="240" w:lineRule="auto"/>
              <w:jc w:val="both"/>
              <w:rPr>
                <w:rFonts w:ascii="Arial" w:eastAsia="Arial" w:hAnsi="Arial" w:cs="Arial"/>
                <w:color w:val="000000"/>
                <w:sz w:val="24"/>
                <w:szCs w:val="24"/>
                <w:highlight w:val="white"/>
              </w:rPr>
            </w:pPr>
          </w:p>
          <w:p w14:paraId="726BABD7" w14:textId="77777777" w:rsidR="00927F26" w:rsidRPr="007C2E92" w:rsidRDefault="00927F26" w:rsidP="00927F26">
            <w:pPr>
              <w:numPr>
                <w:ilvl w:val="0"/>
                <w:numId w:val="5"/>
              </w:numPr>
              <w:pBdr>
                <w:top w:val="nil"/>
                <w:left w:val="nil"/>
                <w:bottom w:val="nil"/>
                <w:right w:val="nil"/>
                <w:between w:val="nil"/>
              </w:pBdr>
              <w:spacing w:after="0" w:line="240" w:lineRule="auto"/>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Si la justificación o subsanación es satisfactoria, procede con el aval requerido y comunica mediante correo electrónico, según corresponda, con el objetivo de proceder con el plaqueo del activo capitalizable.</w:t>
            </w:r>
          </w:p>
          <w:p w14:paraId="27AC5AAE" w14:textId="77777777" w:rsidR="00927F26" w:rsidRPr="007C2E92" w:rsidRDefault="00927F26" w:rsidP="00927F26">
            <w:pPr>
              <w:numPr>
                <w:ilvl w:val="0"/>
                <w:numId w:val="5"/>
              </w:numPr>
              <w:pBdr>
                <w:top w:val="nil"/>
                <w:left w:val="nil"/>
                <w:bottom w:val="nil"/>
                <w:right w:val="nil"/>
                <w:between w:val="nil"/>
              </w:pBdr>
              <w:spacing w:after="0" w:line="240" w:lineRule="auto"/>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Si la justificación o subsanación no es satisfactoria y el activo no puede ser plaqueado; eleva el caso a la instancia correspondiente para la toma de medidas sancionatorias, según corresponda.</w:t>
            </w:r>
          </w:p>
          <w:p w14:paraId="1A1F9D8E" w14:textId="77777777" w:rsidR="00927F26" w:rsidRPr="007C2E92" w:rsidRDefault="00927F26" w:rsidP="000566C1">
            <w:pPr>
              <w:pBdr>
                <w:top w:val="nil"/>
                <w:left w:val="nil"/>
                <w:bottom w:val="nil"/>
                <w:right w:val="nil"/>
                <w:between w:val="nil"/>
              </w:pBdr>
              <w:spacing w:after="0" w:line="240" w:lineRule="auto"/>
              <w:ind w:left="720"/>
              <w:jc w:val="both"/>
              <w:rPr>
                <w:rFonts w:ascii="Arial" w:eastAsia="Arial" w:hAnsi="Arial" w:cs="Arial"/>
                <w:color w:val="000000"/>
                <w:sz w:val="24"/>
                <w:szCs w:val="24"/>
                <w:highlight w:val="white"/>
              </w:rPr>
            </w:pPr>
          </w:p>
        </w:tc>
        <w:tc>
          <w:tcPr>
            <w:tcW w:w="2373" w:type="dxa"/>
          </w:tcPr>
          <w:p w14:paraId="49EC09FB"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Persona coordinadora de la UCAFS</w:t>
            </w:r>
          </w:p>
          <w:p w14:paraId="7F47C144"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p>
          <w:p w14:paraId="7ECE3ACC" w14:textId="77777777" w:rsidR="00927F26" w:rsidRPr="007C2E92" w:rsidRDefault="00927F26" w:rsidP="000566C1">
            <w:pPr>
              <w:spacing w:after="0" w:line="240" w:lineRule="auto"/>
              <w:jc w:val="center"/>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Jefatura Sección de Contabilidad</w:t>
            </w:r>
          </w:p>
        </w:tc>
      </w:tr>
      <w:tr w:rsidR="00927F26" w:rsidRPr="007C2E92" w14:paraId="73C293E2" w14:textId="77777777" w:rsidTr="000566C1">
        <w:trPr>
          <w:cantSplit/>
        </w:trPr>
        <w:tc>
          <w:tcPr>
            <w:tcW w:w="2694" w:type="dxa"/>
            <w:vMerge/>
          </w:tcPr>
          <w:p w14:paraId="054885FD"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4A48FD4C"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highlight w:val="white"/>
              </w:rPr>
              <w:t>Valida</w:t>
            </w:r>
            <w:r w:rsidRPr="007C2E92">
              <w:rPr>
                <w:rFonts w:ascii="Arial" w:eastAsia="Arial" w:hAnsi="Arial" w:cs="Arial"/>
                <w:color w:val="000000"/>
                <w:sz w:val="24"/>
                <w:szCs w:val="24"/>
              </w:rPr>
              <w:t xml:space="preserve"> físicamente los atributos y características del activo fijo capitalizable (marca, modelo y serie, entre otros), una vez recibido el aval del punto anterior, en concordancia con la información suministrada por el usuario para finalizar el proceso de plaqueo del activo capitalizable.</w:t>
            </w:r>
          </w:p>
          <w:p w14:paraId="6D2A23E6"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tcBorders>
              <w:bottom w:val="single" w:sz="4" w:space="0" w:color="auto"/>
            </w:tcBorders>
          </w:tcPr>
          <w:p w14:paraId="04B01FDA" w14:textId="77777777" w:rsidR="00927F26" w:rsidRPr="007C2E92" w:rsidRDefault="00927F26" w:rsidP="000566C1">
            <w:pPr>
              <w:spacing w:after="0" w:line="240" w:lineRule="auto"/>
              <w:jc w:val="center"/>
              <w:rPr>
                <w:rFonts w:ascii="Arial" w:eastAsia="Arial" w:hAnsi="Arial" w:cs="Arial"/>
                <w:color w:val="000000"/>
                <w:sz w:val="24"/>
                <w:szCs w:val="24"/>
                <w:highlight w:val="cyan"/>
              </w:rPr>
            </w:pPr>
            <w:r w:rsidRPr="007C2E92">
              <w:rPr>
                <w:rFonts w:ascii="Arial" w:eastAsia="Arial" w:hAnsi="Arial" w:cs="Arial"/>
                <w:color w:val="000000"/>
                <w:sz w:val="24"/>
                <w:szCs w:val="24"/>
              </w:rPr>
              <w:t>Persona coordinadora de la Bodega (Proveeduría Institucional) (TEPI)</w:t>
            </w:r>
          </w:p>
        </w:tc>
      </w:tr>
      <w:tr w:rsidR="00927F26" w:rsidRPr="007C2E92" w14:paraId="03467ADD" w14:textId="77777777" w:rsidTr="000566C1">
        <w:trPr>
          <w:cantSplit/>
        </w:trPr>
        <w:tc>
          <w:tcPr>
            <w:tcW w:w="2694" w:type="dxa"/>
            <w:vMerge/>
          </w:tcPr>
          <w:p w14:paraId="0AB02CF5"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color w:val="000000"/>
                <w:sz w:val="24"/>
                <w:szCs w:val="24"/>
              </w:rPr>
            </w:pPr>
          </w:p>
        </w:tc>
        <w:tc>
          <w:tcPr>
            <w:tcW w:w="5702" w:type="dxa"/>
          </w:tcPr>
          <w:p w14:paraId="23B95D31" w14:textId="77777777" w:rsidR="00927F26" w:rsidRPr="007C2E92" w:rsidRDefault="00927F26" w:rsidP="00927F26">
            <w:pPr>
              <w:numPr>
                <w:ilvl w:val="1"/>
                <w:numId w:val="6"/>
              </w:numPr>
              <w:pBdr>
                <w:top w:val="nil"/>
                <w:left w:val="nil"/>
                <w:bottom w:val="nil"/>
                <w:right w:val="nil"/>
                <w:between w:val="nil"/>
              </w:pBdr>
              <w:spacing w:after="0" w:line="240" w:lineRule="auto"/>
              <w:ind w:left="450"/>
              <w:jc w:val="both"/>
              <w:rPr>
                <w:rFonts w:ascii="Arial" w:eastAsia="Arial" w:hAnsi="Arial" w:cs="Arial"/>
                <w:color w:val="000000"/>
                <w:sz w:val="24"/>
                <w:szCs w:val="24"/>
              </w:rPr>
            </w:pPr>
            <w:r w:rsidRPr="007C2E92">
              <w:rPr>
                <w:rFonts w:ascii="Arial" w:eastAsia="Arial" w:hAnsi="Arial" w:cs="Arial"/>
                <w:color w:val="000000"/>
                <w:sz w:val="24"/>
                <w:szCs w:val="24"/>
              </w:rPr>
              <w:t>Realiza el traslado del activo capitalizable al responsable definitivo, en caso de ser necesario.</w:t>
            </w:r>
          </w:p>
          <w:p w14:paraId="1938DE65"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highlight w:val="white"/>
              </w:rPr>
            </w:pPr>
          </w:p>
        </w:tc>
        <w:tc>
          <w:tcPr>
            <w:tcW w:w="2373" w:type="dxa"/>
            <w:tcBorders>
              <w:bottom w:val="single" w:sz="4" w:space="0" w:color="auto"/>
            </w:tcBorders>
          </w:tcPr>
          <w:p w14:paraId="35B88802"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responsable de la caja chica</w:t>
            </w:r>
          </w:p>
        </w:tc>
      </w:tr>
      <w:tr w:rsidR="00927F26" w:rsidRPr="007C2E92" w14:paraId="4B50AD5B" w14:textId="77777777" w:rsidTr="000566C1">
        <w:tc>
          <w:tcPr>
            <w:tcW w:w="2694" w:type="dxa"/>
            <w:vMerge w:val="restart"/>
          </w:tcPr>
          <w:p w14:paraId="41E4245C"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t>Aplica los registros contables de los activos capitalizables</w:t>
            </w:r>
          </w:p>
        </w:tc>
        <w:tc>
          <w:tcPr>
            <w:tcW w:w="5702" w:type="dxa"/>
            <w:tcBorders>
              <w:right w:val="single" w:sz="4" w:space="0" w:color="auto"/>
            </w:tcBorders>
          </w:tcPr>
          <w:p w14:paraId="6853C07A" w14:textId="77777777" w:rsidR="00927F26" w:rsidRPr="007C2E92" w:rsidRDefault="00927F26" w:rsidP="00927F26">
            <w:pPr>
              <w:numPr>
                <w:ilvl w:val="1"/>
                <w:numId w:val="6"/>
              </w:numPr>
              <w:pBdr>
                <w:top w:val="nil"/>
                <w:left w:val="nil"/>
                <w:bottom w:val="nil"/>
                <w:right w:val="nil"/>
                <w:between w:val="nil"/>
              </w:pBdr>
              <w:spacing w:after="0" w:line="240" w:lineRule="auto"/>
              <w:ind w:left="450"/>
              <w:jc w:val="both"/>
              <w:rPr>
                <w:rFonts w:ascii="Arial" w:eastAsia="Arial" w:hAnsi="Arial" w:cs="Arial"/>
                <w:color w:val="000000"/>
                <w:sz w:val="24"/>
                <w:szCs w:val="24"/>
              </w:rPr>
            </w:pPr>
            <w:r w:rsidRPr="007C2E92">
              <w:rPr>
                <w:rFonts w:ascii="Arial" w:eastAsia="Arial" w:hAnsi="Arial" w:cs="Arial"/>
                <w:color w:val="000000"/>
                <w:sz w:val="24"/>
                <w:szCs w:val="24"/>
                <w:highlight w:val="white"/>
              </w:rPr>
              <w:t xml:space="preserve">Informa a la Sección </w:t>
            </w:r>
            <w:r w:rsidRPr="007C2E92">
              <w:rPr>
                <w:rFonts w:ascii="Arial" w:eastAsia="Arial" w:hAnsi="Arial" w:cs="Arial"/>
                <w:color w:val="000000"/>
                <w:sz w:val="24"/>
                <w:szCs w:val="24"/>
              </w:rPr>
              <w:t>de Presupuesto, en concordancia con las actividades indicadas en los puntos 5.4, 5.5, 5.6 y 5.7, sobre los cambios que impliquen reclasificación de códigos de material e incluso reclasificación de gastos ya aprobados para su análisis y ajuste respectivo, en caso de ser necesario.</w:t>
            </w:r>
          </w:p>
          <w:p w14:paraId="700BFE1B" w14:textId="77777777" w:rsidR="00927F26" w:rsidRPr="007C2E92" w:rsidRDefault="00927F26" w:rsidP="000566C1">
            <w:pPr>
              <w:pBdr>
                <w:top w:val="nil"/>
                <w:left w:val="nil"/>
                <w:bottom w:val="nil"/>
                <w:right w:val="nil"/>
                <w:between w:val="nil"/>
              </w:pBdr>
              <w:spacing w:after="0" w:line="240" w:lineRule="auto"/>
              <w:ind w:left="450"/>
              <w:jc w:val="both"/>
              <w:rPr>
                <w:rFonts w:ascii="Arial" w:eastAsia="Arial" w:hAnsi="Arial" w:cs="Arial"/>
                <w:color w:val="000000"/>
                <w:sz w:val="24"/>
                <w:szCs w:val="24"/>
              </w:rPr>
            </w:pPr>
          </w:p>
        </w:tc>
        <w:tc>
          <w:tcPr>
            <w:tcW w:w="2373" w:type="dxa"/>
            <w:tcBorders>
              <w:top w:val="single" w:sz="4" w:space="0" w:color="auto"/>
              <w:left w:val="single" w:sz="4" w:space="0" w:color="auto"/>
              <w:bottom w:val="single" w:sz="4" w:space="0" w:color="auto"/>
              <w:right w:val="single" w:sz="4" w:space="0" w:color="auto"/>
            </w:tcBorders>
            <w:shd w:val="clear" w:color="auto" w:fill="FFFFFF"/>
          </w:tcPr>
          <w:p w14:paraId="17204055"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coordinadora de la UCAFS</w:t>
            </w:r>
          </w:p>
        </w:tc>
      </w:tr>
      <w:tr w:rsidR="00927F26" w:rsidRPr="007C2E92" w14:paraId="7AA88C76" w14:textId="77777777" w:rsidTr="000566C1">
        <w:tc>
          <w:tcPr>
            <w:tcW w:w="2694" w:type="dxa"/>
            <w:vMerge/>
          </w:tcPr>
          <w:p w14:paraId="711769E7"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p>
        </w:tc>
        <w:tc>
          <w:tcPr>
            <w:tcW w:w="5702" w:type="dxa"/>
          </w:tcPr>
          <w:p w14:paraId="2A46A7B3" w14:textId="77777777" w:rsidR="00927F26" w:rsidRPr="007C2E92" w:rsidRDefault="00927F26" w:rsidP="00927F26">
            <w:pPr>
              <w:numPr>
                <w:ilvl w:val="1"/>
                <w:numId w:val="6"/>
              </w:numPr>
              <w:pBdr>
                <w:top w:val="nil"/>
                <w:left w:val="nil"/>
                <w:bottom w:val="nil"/>
                <w:right w:val="nil"/>
                <w:between w:val="nil"/>
              </w:pBdr>
              <w:spacing w:after="0" w:line="240" w:lineRule="auto"/>
              <w:ind w:left="450"/>
              <w:jc w:val="both"/>
              <w:rPr>
                <w:rFonts w:ascii="Arial" w:eastAsia="Arial" w:hAnsi="Arial" w:cs="Arial"/>
                <w:color w:val="000000"/>
                <w:sz w:val="24"/>
                <w:szCs w:val="24"/>
                <w:highlight w:val="white"/>
              </w:rPr>
            </w:pPr>
            <w:r w:rsidRPr="007C2E92">
              <w:rPr>
                <w:rFonts w:ascii="Arial" w:eastAsia="Arial" w:hAnsi="Arial" w:cs="Arial"/>
                <w:color w:val="000000"/>
                <w:sz w:val="24"/>
                <w:szCs w:val="24"/>
                <w:highlight w:val="white"/>
              </w:rPr>
              <w:t>Analiza la i</w:t>
            </w:r>
            <w:r w:rsidRPr="007C2E92">
              <w:rPr>
                <w:rFonts w:ascii="Arial" w:eastAsia="Arial" w:hAnsi="Arial" w:cs="Arial"/>
                <w:color w:val="000000"/>
                <w:sz w:val="24"/>
                <w:szCs w:val="24"/>
              </w:rPr>
              <w:t>nformación contable y pres</w:t>
            </w:r>
            <w:r w:rsidRPr="007C2E92">
              <w:rPr>
                <w:rFonts w:ascii="Arial" w:eastAsia="Arial" w:hAnsi="Arial" w:cs="Arial"/>
                <w:sz w:val="24"/>
                <w:szCs w:val="24"/>
              </w:rPr>
              <w:t>upuestaria para</w:t>
            </w:r>
            <w:r w:rsidRPr="007C2E92">
              <w:rPr>
                <w:rFonts w:ascii="Arial" w:eastAsia="Arial" w:hAnsi="Arial" w:cs="Arial"/>
                <w:color w:val="000000"/>
                <w:sz w:val="24"/>
                <w:szCs w:val="24"/>
              </w:rPr>
              <w:t xml:space="preserve"> y generar los ajustes correspondientes, en concordancia con las actividades indicadas en los puntos 5.4, 5.5, 5.6 y 5.7, sobre los cambios que impliquen reclasificación de códigos de material, reclasificación de cuentas de activos y registros adicionales, en caso de ser necesario.</w:t>
            </w:r>
          </w:p>
          <w:p w14:paraId="739C3D57" w14:textId="77777777" w:rsidR="00927F26" w:rsidRPr="007C2E92" w:rsidRDefault="00927F26" w:rsidP="000566C1">
            <w:pPr>
              <w:pBdr>
                <w:top w:val="nil"/>
                <w:left w:val="nil"/>
                <w:bottom w:val="nil"/>
                <w:right w:val="nil"/>
                <w:between w:val="nil"/>
              </w:pBdr>
              <w:spacing w:after="0" w:line="240" w:lineRule="auto"/>
              <w:ind w:left="450"/>
              <w:jc w:val="both"/>
              <w:rPr>
                <w:rFonts w:ascii="Arial" w:eastAsia="Arial" w:hAnsi="Arial" w:cs="Arial"/>
                <w:color w:val="000000"/>
                <w:sz w:val="24"/>
                <w:szCs w:val="24"/>
                <w:highlight w:val="white"/>
              </w:rPr>
            </w:pPr>
          </w:p>
        </w:tc>
        <w:tc>
          <w:tcPr>
            <w:tcW w:w="2373" w:type="dxa"/>
            <w:tcBorders>
              <w:top w:val="single" w:sz="4" w:space="0" w:color="auto"/>
            </w:tcBorders>
            <w:shd w:val="clear" w:color="auto" w:fill="FFFFFF"/>
          </w:tcPr>
          <w:p w14:paraId="4BEA1F1A"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coordinadora de la UCAFS</w:t>
            </w:r>
          </w:p>
          <w:p w14:paraId="6FB802E2" w14:textId="77777777" w:rsidR="00927F26" w:rsidRPr="007C2E92" w:rsidRDefault="00927F26" w:rsidP="000566C1">
            <w:pPr>
              <w:spacing w:after="0" w:line="240" w:lineRule="auto"/>
              <w:jc w:val="center"/>
              <w:rPr>
                <w:rFonts w:ascii="Arial" w:eastAsia="Arial" w:hAnsi="Arial" w:cs="Arial"/>
                <w:color w:val="000000"/>
                <w:sz w:val="24"/>
                <w:szCs w:val="24"/>
              </w:rPr>
            </w:pPr>
          </w:p>
          <w:p w14:paraId="01537B29"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coordinadora de la Unidad Especializada</w:t>
            </w:r>
          </w:p>
        </w:tc>
      </w:tr>
      <w:tr w:rsidR="00927F26" w:rsidRPr="007C2E92" w14:paraId="076F10D2" w14:textId="77777777" w:rsidTr="000566C1">
        <w:tc>
          <w:tcPr>
            <w:tcW w:w="2694" w:type="dxa"/>
          </w:tcPr>
          <w:p w14:paraId="2F219064" w14:textId="77777777" w:rsidR="00927F26" w:rsidRPr="007C2E92" w:rsidRDefault="00927F26" w:rsidP="00927F26">
            <w:pPr>
              <w:numPr>
                <w:ilvl w:val="0"/>
                <w:numId w:val="6"/>
              </w:numPr>
              <w:pBdr>
                <w:top w:val="nil"/>
                <w:left w:val="nil"/>
                <w:bottom w:val="nil"/>
                <w:right w:val="nil"/>
                <w:between w:val="nil"/>
              </w:pBdr>
              <w:spacing w:after="0" w:line="240" w:lineRule="auto"/>
              <w:ind w:left="322" w:hanging="322"/>
              <w:rPr>
                <w:rFonts w:ascii="Arial" w:eastAsia="Arial" w:hAnsi="Arial" w:cs="Arial"/>
                <w:color w:val="000000"/>
                <w:sz w:val="24"/>
                <w:szCs w:val="24"/>
              </w:rPr>
            </w:pPr>
            <w:r w:rsidRPr="007C2E92">
              <w:rPr>
                <w:rFonts w:ascii="Arial" w:eastAsia="Arial" w:hAnsi="Arial" w:cs="Arial"/>
                <w:color w:val="000000"/>
                <w:sz w:val="24"/>
                <w:szCs w:val="24"/>
              </w:rPr>
              <w:t>Controla los activos capitalizables.</w:t>
            </w:r>
          </w:p>
        </w:tc>
        <w:tc>
          <w:tcPr>
            <w:tcW w:w="5702" w:type="dxa"/>
          </w:tcPr>
          <w:p w14:paraId="35AD2592" w14:textId="77777777" w:rsidR="00927F26" w:rsidRPr="007C2E92" w:rsidRDefault="00927F26" w:rsidP="00927F26">
            <w:pPr>
              <w:numPr>
                <w:ilvl w:val="1"/>
                <w:numId w:val="6"/>
              </w:numPr>
              <w:pBdr>
                <w:top w:val="nil"/>
                <w:left w:val="nil"/>
                <w:bottom w:val="nil"/>
                <w:right w:val="nil"/>
                <w:between w:val="nil"/>
              </w:pBdr>
              <w:spacing w:after="0" w:line="240" w:lineRule="auto"/>
              <w:ind w:left="469" w:hanging="469"/>
              <w:jc w:val="both"/>
              <w:rPr>
                <w:rFonts w:ascii="Arial" w:eastAsia="Arial" w:hAnsi="Arial" w:cs="Arial"/>
                <w:color w:val="000000"/>
                <w:sz w:val="24"/>
                <w:szCs w:val="24"/>
              </w:rPr>
            </w:pPr>
            <w:r w:rsidRPr="007C2E92">
              <w:rPr>
                <w:rFonts w:ascii="Arial" w:eastAsia="Arial" w:hAnsi="Arial" w:cs="Arial"/>
                <w:color w:val="000000"/>
                <w:sz w:val="24"/>
                <w:szCs w:val="24"/>
              </w:rPr>
              <w:t>Controla (depreciación e inventario), ajuste del valor y da seguimiento a los activos capitalizables adquiridos por caja chica, mediante los inventarios programados a las unidades ejecutoras.</w:t>
            </w:r>
          </w:p>
          <w:p w14:paraId="4E871254" w14:textId="77777777" w:rsidR="00927F26" w:rsidRPr="007C2E92" w:rsidRDefault="00927F26" w:rsidP="000566C1">
            <w:pPr>
              <w:pBdr>
                <w:top w:val="nil"/>
                <w:left w:val="nil"/>
                <w:bottom w:val="nil"/>
                <w:right w:val="nil"/>
                <w:between w:val="nil"/>
              </w:pBdr>
              <w:spacing w:after="0" w:line="240" w:lineRule="auto"/>
              <w:ind w:left="469"/>
              <w:jc w:val="both"/>
              <w:rPr>
                <w:rFonts w:ascii="Arial" w:eastAsia="Arial" w:hAnsi="Arial" w:cs="Arial"/>
                <w:color w:val="000000"/>
                <w:sz w:val="24"/>
                <w:szCs w:val="24"/>
              </w:rPr>
            </w:pPr>
          </w:p>
        </w:tc>
        <w:tc>
          <w:tcPr>
            <w:tcW w:w="2373" w:type="dxa"/>
            <w:tcBorders>
              <w:top w:val="nil"/>
            </w:tcBorders>
            <w:shd w:val="clear" w:color="auto" w:fill="FFFFFF"/>
          </w:tcPr>
          <w:p w14:paraId="2ED6F483" w14:textId="77777777" w:rsidR="00927F26" w:rsidRPr="007C2E92" w:rsidRDefault="00927F26" w:rsidP="000566C1">
            <w:pPr>
              <w:spacing w:after="0" w:line="240" w:lineRule="auto"/>
              <w:jc w:val="center"/>
              <w:rPr>
                <w:rFonts w:ascii="Arial" w:eastAsia="Arial" w:hAnsi="Arial" w:cs="Arial"/>
                <w:color w:val="000000"/>
                <w:sz w:val="24"/>
                <w:szCs w:val="24"/>
              </w:rPr>
            </w:pPr>
            <w:r w:rsidRPr="007C2E92">
              <w:rPr>
                <w:rFonts w:ascii="Arial" w:eastAsia="Arial" w:hAnsi="Arial" w:cs="Arial"/>
                <w:color w:val="000000"/>
                <w:sz w:val="24"/>
                <w:szCs w:val="24"/>
              </w:rPr>
              <w:t>Persona coordinadora y funcionarios técnicos de la UCAFS</w:t>
            </w:r>
          </w:p>
        </w:tc>
      </w:tr>
    </w:tbl>
    <w:p w14:paraId="4AE509DA" w14:textId="77777777" w:rsidR="00927F26" w:rsidRPr="007C2E92" w:rsidRDefault="00927F26" w:rsidP="00927F26">
      <w:pPr>
        <w:spacing w:after="0" w:line="240" w:lineRule="auto"/>
        <w:ind w:hanging="2"/>
        <w:jc w:val="both"/>
        <w:rPr>
          <w:rFonts w:ascii="Arial" w:eastAsia="Arial" w:hAnsi="Arial" w:cs="Arial"/>
          <w:sz w:val="24"/>
          <w:szCs w:val="24"/>
        </w:rPr>
      </w:pPr>
      <w:bookmarkStart w:id="2" w:name="_heading=h.1fob9te" w:colFirst="0" w:colLast="0"/>
      <w:bookmarkEnd w:id="2"/>
    </w:p>
    <w:p w14:paraId="4FB7C790"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color w:val="000000"/>
          <w:sz w:val="24"/>
          <w:szCs w:val="24"/>
        </w:rPr>
        <w:t>Disposiciones transitorias</w:t>
      </w:r>
    </w:p>
    <w:p w14:paraId="586FB135" w14:textId="77777777" w:rsidR="00927F26" w:rsidRPr="007C2E92" w:rsidRDefault="00927F26" w:rsidP="00927F26">
      <w:pPr>
        <w:spacing w:after="0" w:line="240" w:lineRule="auto"/>
        <w:rPr>
          <w:rFonts w:ascii="Arial" w:eastAsia="Arial" w:hAnsi="Arial" w:cs="Arial"/>
          <w:sz w:val="24"/>
          <w:szCs w:val="24"/>
        </w:rPr>
      </w:pPr>
      <w:r w:rsidRPr="007C2E92">
        <w:rPr>
          <w:rFonts w:ascii="Arial" w:eastAsia="Arial" w:hAnsi="Arial" w:cs="Arial"/>
          <w:sz w:val="24"/>
          <w:szCs w:val="24"/>
        </w:rPr>
        <w:t>No aplica.</w:t>
      </w:r>
    </w:p>
    <w:p w14:paraId="4FEE2C8C" w14:textId="77777777" w:rsidR="00927F26" w:rsidRPr="007C2E92" w:rsidRDefault="00927F26" w:rsidP="00927F26">
      <w:pPr>
        <w:pBdr>
          <w:top w:val="nil"/>
          <w:left w:val="nil"/>
          <w:bottom w:val="nil"/>
          <w:right w:val="nil"/>
          <w:between w:val="nil"/>
        </w:pBdr>
        <w:spacing w:after="0" w:line="240" w:lineRule="auto"/>
        <w:jc w:val="both"/>
        <w:rPr>
          <w:rFonts w:ascii="Arial" w:eastAsia="Arial" w:hAnsi="Arial" w:cs="Arial"/>
          <w:color w:val="000000"/>
          <w:sz w:val="24"/>
          <w:szCs w:val="24"/>
        </w:rPr>
      </w:pPr>
    </w:p>
    <w:p w14:paraId="7F2FDF15"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color w:val="000000"/>
          <w:sz w:val="24"/>
          <w:szCs w:val="24"/>
        </w:rPr>
        <w:t>Flujogramas</w:t>
      </w:r>
    </w:p>
    <w:p w14:paraId="6A8E1BDE" w14:textId="77777777" w:rsidR="00927F26" w:rsidRPr="007C2E92" w:rsidRDefault="00927F26" w:rsidP="00927F26">
      <w:pPr>
        <w:spacing w:after="0" w:line="240" w:lineRule="auto"/>
        <w:ind w:hanging="2"/>
        <w:rPr>
          <w:rFonts w:ascii="Arial" w:eastAsia="Arial" w:hAnsi="Arial" w:cs="Arial"/>
          <w:sz w:val="24"/>
          <w:szCs w:val="24"/>
        </w:rPr>
      </w:pPr>
      <w:r w:rsidRPr="007C2E92">
        <w:rPr>
          <w:rFonts w:ascii="Arial" w:eastAsia="Arial" w:hAnsi="Arial" w:cs="Arial"/>
          <w:sz w:val="24"/>
          <w:szCs w:val="24"/>
        </w:rPr>
        <w:t>No aplica.</w:t>
      </w:r>
    </w:p>
    <w:p w14:paraId="68CFFB92" w14:textId="77777777" w:rsidR="00927F26" w:rsidRPr="007C2E92" w:rsidRDefault="00927F26" w:rsidP="00927F26">
      <w:pPr>
        <w:spacing w:after="0" w:line="240" w:lineRule="auto"/>
        <w:ind w:hanging="2"/>
        <w:rPr>
          <w:rFonts w:ascii="Arial" w:eastAsia="Arial" w:hAnsi="Arial" w:cs="Arial"/>
          <w:sz w:val="24"/>
          <w:szCs w:val="24"/>
        </w:rPr>
      </w:pPr>
    </w:p>
    <w:p w14:paraId="0DF30DC6"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color w:val="000000"/>
          <w:sz w:val="24"/>
          <w:szCs w:val="24"/>
        </w:rPr>
        <w:t>Formularios</w:t>
      </w:r>
    </w:p>
    <w:tbl>
      <w:tblPr>
        <w:tblW w:w="9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4247"/>
        <w:gridCol w:w="3496"/>
      </w:tblGrid>
      <w:tr w:rsidR="00927F26" w:rsidRPr="007C2E92" w14:paraId="6B51C023" w14:textId="77777777" w:rsidTr="000566C1">
        <w:trPr>
          <w:trHeight w:val="223"/>
          <w:jc w:val="center"/>
        </w:trPr>
        <w:tc>
          <w:tcPr>
            <w:tcW w:w="1985" w:type="dxa"/>
            <w:shd w:val="clear" w:color="auto" w:fill="BFBFBF"/>
          </w:tcPr>
          <w:p w14:paraId="40641077"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Consecutivo</w:t>
            </w:r>
          </w:p>
        </w:tc>
        <w:tc>
          <w:tcPr>
            <w:tcW w:w="4247" w:type="dxa"/>
            <w:shd w:val="clear" w:color="auto" w:fill="BFBFBF"/>
          </w:tcPr>
          <w:p w14:paraId="59D86D29"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Nombre del formulario</w:t>
            </w:r>
          </w:p>
        </w:tc>
        <w:tc>
          <w:tcPr>
            <w:tcW w:w="3496" w:type="dxa"/>
            <w:shd w:val="clear" w:color="auto" w:fill="BFBFBF"/>
          </w:tcPr>
          <w:p w14:paraId="5EE0A61E"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Versión del formulario</w:t>
            </w:r>
          </w:p>
        </w:tc>
      </w:tr>
      <w:tr w:rsidR="00927F26" w:rsidRPr="007C2E92" w14:paraId="3B7715FB" w14:textId="77777777" w:rsidTr="000566C1">
        <w:trPr>
          <w:trHeight w:val="247"/>
          <w:jc w:val="center"/>
        </w:trPr>
        <w:tc>
          <w:tcPr>
            <w:tcW w:w="1985" w:type="dxa"/>
            <w:shd w:val="clear" w:color="auto" w:fill="FFFFFF"/>
          </w:tcPr>
          <w:p w14:paraId="3A44E67E"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No aplica.</w:t>
            </w:r>
          </w:p>
        </w:tc>
        <w:tc>
          <w:tcPr>
            <w:tcW w:w="4247" w:type="dxa"/>
            <w:shd w:val="clear" w:color="auto" w:fill="FFFFFF"/>
          </w:tcPr>
          <w:p w14:paraId="004B3948" w14:textId="77777777" w:rsidR="00927F26" w:rsidRPr="007C2E92" w:rsidRDefault="00927F26" w:rsidP="000566C1">
            <w:pPr>
              <w:spacing w:after="0" w:line="240" w:lineRule="auto"/>
              <w:ind w:hanging="2"/>
              <w:jc w:val="center"/>
              <w:rPr>
                <w:rFonts w:ascii="Arial" w:eastAsia="Arial" w:hAnsi="Arial" w:cs="Arial"/>
                <w:sz w:val="24"/>
                <w:szCs w:val="24"/>
              </w:rPr>
            </w:pPr>
          </w:p>
        </w:tc>
        <w:tc>
          <w:tcPr>
            <w:tcW w:w="3496" w:type="dxa"/>
            <w:shd w:val="clear" w:color="auto" w:fill="FFFFFF"/>
          </w:tcPr>
          <w:p w14:paraId="60E139E6" w14:textId="77777777" w:rsidR="00927F26" w:rsidRPr="007C2E92" w:rsidRDefault="00927F26" w:rsidP="000566C1">
            <w:pPr>
              <w:spacing w:after="0" w:line="240" w:lineRule="auto"/>
              <w:ind w:hanging="2"/>
              <w:jc w:val="center"/>
              <w:rPr>
                <w:rFonts w:ascii="Arial" w:eastAsia="Arial" w:hAnsi="Arial" w:cs="Arial"/>
                <w:sz w:val="24"/>
                <w:szCs w:val="24"/>
              </w:rPr>
            </w:pPr>
          </w:p>
        </w:tc>
      </w:tr>
    </w:tbl>
    <w:p w14:paraId="629315D9" w14:textId="77777777" w:rsidR="00927F26" w:rsidRPr="007C2E92" w:rsidRDefault="00927F26" w:rsidP="00927F26">
      <w:pPr>
        <w:pBdr>
          <w:top w:val="nil"/>
          <w:left w:val="nil"/>
          <w:bottom w:val="nil"/>
          <w:right w:val="nil"/>
          <w:between w:val="nil"/>
        </w:pBdr>
        <w:spacing w:after="0" w:line="240" w:lineRule="auto"/>
        <w:jc w:val="both"/>
        <w:rPr>
          <w:rFonts w:ascii="Arial" w:eastAsia="Arial" w:hAnsi="Arial" w:cs="Arial"/>
          <w:color w:val="000000"/>
          <w:sz w:val="24"/>
          <w:szCs w:val="24"/>
        </w:rPr>
      </w:pPr>
    </w:p>
    <w:p w14:paraId="3FBA139A"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color w:val="000000"/>
          <w:sz w:val="24"/>
          <w:szCs w:val="24"/>
        </w:rPr>
        <w:t>Anexos</w:t>
      </w:r>
    </w:p>
    <w:p w14:paraId="608ED8C1" w14:textId="77777777" w:rsidR="00927F26" w:rsidRPr="007C2E92" w:rsidRDefault="00927F26" w:rsidP="00927F26">
      <w:pPr>
        <w:spacing w:after="0" w:line="240" w:lineRule="auto"/>
        <w:ind w:hanging="2"/>
        <w:rPr>
          <w:rFonts w:ascii="Arial" w:eastAsia="Arial" w:hAnsi="Arial" w:cs="Arial"/>
          <w:sz w:val="24"/>
          <w:szCs w:val="24"/>
        </w:rPr>
      </w:pPr>
      <w:r w:rsidRPr="007C2E92">
        <w:rPr>
          <w:rFonts w:ascii="Arial" w:eastAsia="Arial" w:hAnsi="Arial" w:cs="Arial"/>
          <w:sz w:val="24"/>
          <w:szCs w:val="24"/>
        </w:rPr>
        <w:t>No aplica.</w:t>
      </w:r>
    </w:p>
    <w:p w14:paraId="631E4DD6" w14:textId="77777777" w:rsidR="00927F26" w:rsidRPr="007C2E92" w:rsidRDefault="00927F26" w:rsidP="00927F26">
      <w:pPr>
        <w:spacing w:after="0" w:line="240" w:lineRule="auto"/>
        <w:rPr>
          <w:rFonts w:ascii="Arial" w:eastAsia="Arial" w:hAnsi="Arial" w:cs="Arial"/>
          <w:color w:val="000000"/>
          <w:sz w:val="24"/>
          <w:szCs w:val="24"/>
        </w:rPr>
      </w:pPr>
    </w:p>
    <w:p w14:paraId="1C9CEFE6"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color w:val="000000"/>
          <w:sz w:val="24"/>
          <w:szCs w:val="24"/>
        </w:rPr>
        <w:t>Firmas de autorización</w:t>
      </w:r>
    </w:p>
    <w:tbl>
      <w:tblPr>
        <w:tblW w:w="10135" w:type="dxa"/>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1276"/>
        <w:gridCol w:w="4961"/>
        <w:gridCol w:w="2414"/>
        <w:gridCol w:w="1484"/>
      </w:tblGrid>
      <w:tr w:rsidR="00927F26" w:rsidRPr="007C2E92" w14:paraId="791075D1" w14:textId="77777777" w:rsidTr="000566C1">
        <w:trPr>
          <w:trHeight w:val="232"/>
          <w:tblHeader/>
        </w:trPr>
        <w:tc>
          <w:tcPr>
            <w:tcW w:w="1276" w:type="dxa"/>
            <w:shd w:val="clear" w:color="auto" w:fill="BFBFBF"/>
          </w:tcPr>
          <w:p w14:paraId="4BAC0646" w14:textId="77777777" w:rsidR="00927F26" w:rsidRPr="007C2E92" w:rsidRDefault="00927F26" w:rsidP="000566C1">
            <w:pPr>
              <w:spacing w:after="0" w:line="240" w:lineRule="auto"/>
              <w:ind w:hanging="2"/>
              <w:rPr>
                <w:rFonts w:ascii="Arial" w:eastAsia="Arial" w:hAnsi="Arial" w:cs="Arial"/>
                <w:sz w:val="24"/>
                <w:szCs w:val="24"/>
              </w:rPr>
            </w:pPr>
          </w:p>
        </w:tc>
        <w:tc>
          <w:tcPr>
            <w:tcW w:w="4961" w:type="dxa"/>
            <w:shd w:val="clear" w:color="auto" w:fill="BFBFBF"/>
          </w:tcPr>
          <w:p w14:paraId="21797C5B"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b/>
                <w:sz w:val="24"/>
                <w:szCs w:val="24"/>
              </w:rPr>
              <w:t>Nombre y cargo</w:t>
            </w:r>
          </w:p>
        </w:tc>
        <w:tc>
          <w:tcPr>
            <w:tcW w:w="2414" w:type="dxa"/>
            <w:shd w:val="clear" w:color="auto" w:fill="BFBFBF"/>
          </w:tcPr>
          <w:p w14:paraId="4CA46921" w14:textId="77777777" w:rsidR="00927F26" w:rsidRPr="007C2E92" w:rsidRDefault="00927F26" w:rsidP="000566C1">
            <w:pPr>
              <w:spacing w:after="0" w:line="240" w:lineRule="auto"/>
              <w:ind w:hanging="2"/>
              <w:jc w:val="center"/>
              <w:rPr>
                <w:rFonts w:ascii="Arial" w:eastAsia="Arial" w:hAnsi="Arial" w:cs="Arial"/>
                <w:sz w:val="24"/>
                <w:szCs w:val="24"/>
              </w:rPr>
            </w:pPr>
            <w:r w:rsidRPr="007C2E92">
              <w:rPr>
                <w:rFonts w:ascii="Arial" w:eastAsia="Arial" w:hAnsi="Arial" w:cs="Arial"/>
                <w:b/>
                <w:sz w:val="24"/>
                <w:szCs w:val="24"/>
              </w:rPr>
              <w:t>Firma</w:t>
            </w:r>
          </w:p>
        </w:tc>
        <w:tc>
          <w:tcPr>
            <w:tcW w:w="1484" w:type="dxa"/>
            <w:shd w:val="clear" w:color="auto" w:fill="BFBFBF"/>
          </w:tcPr>
          <w:p w14:paraId="5A61E80F" w14:textId="77777777" w:rsidR="00927F26" w:rsidRPr="007C2E92" w:rsidRDefault="00927F26" w:rsidP="000566C1">
            <w:pPr>
              <w:spacing w:after="0" w:line="240" w:lineRule="auto"/>
              <w:ind w:hanging="2"/>
              <w:jc w:val="center"/>
              <w:rPr>
                <w:rFonts w:ascii="Arial" w:eastAsia="Arial" w:hAnsi="Arial" w:cs="Arial"/>
                <w:sz w:val="24"/>
                <w:szCs w:val="24"/>
              </w:rPr>
            </w:pPr>
            <w:r w:rsidRPr="007C2E92">
              <w:rPr>
                <w:rFonts w:ascii="Arial" w:eastAsia="Arial" w:hAnsi="Arial" w:cs="Arial"/>
                <w:b/>
                <w:sz w:val="24"/>
                <w:szCs w:val="24"/>
              </w:rPr>
              <w:t>Fecha</w:t>
            </w:r>
          </w:p>
        </w:tc>
      </w:tr>
      <w:tr w:rsidR="00927F26" w:rsidRPr="007C2E92" w14:paraId="2C151368" w14:textId="77777777" w:rsidTr="000566C1">
        <w:trPr>
          <w:cantSplit/>
          <w:trHeight w:val="1240"/>
        </w:trPr>
        <w:tc>
          <w:tcPr>
            <w:tcW w:w="1276" w:type="dxa"/>
            <w:vMerge w:val="restart"/>
            <w:shd w:val="clear" w:color="auto" w:fill="FFFFFF"/>
          </w:tcPr>
          <w:p w14:paraId="0784C220"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Elaboró:</w:t>
            </w:r>
          </w:p>
        </w:tc>
        <w:tc>
          <w:tcPr>
            <w:tcW w:w="4961" w:type="dxa"/>
            <w:shd w:val="clear" w:color="auto" w:fill="FFFFFF"/>
          </w:tcPr>
          <w:p w14:paraId="0B17E805"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Lic. Erick Alfaro Camacho</w:t>
            </w:r>
          </w:p>
          <w:p w14:paraId="2F2CC99B"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Jefe SPAAU</w:t>
            </w:r>
          </w:p>
          <w:p w14:paraId="643F0537"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Proveeduría Institucional</w:t>
            </w:r>
          </w:p>
        </w:tc>
        <w:tc>
          <w:tcPr>
            <w:tcW w:w="2414" w:type="dxa"/>
            <w:shd w:val="clear" w:color="auto" w:fill="FFFFFF"/>
          </w:tcPr>
          <w:p w14:paraId="60B7FAE0"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0D2052CC" w14:textId="77777777" w:rsidR="00927F26" w:rsidRPr="007C2E92" w:rsidRDefault="00927F26" w:rsidP="000566C1">
            <w:pPr>
              <w:spacing w:after="0" w:line="240" w:lineRule="auto"/>
              <w:ind w:hanging="2"/>
              <w:rPr>
                <w:rFonts w:ascii="Arial" w:eastAsia="Arial" w:hAnsi="Arial" w:cs="Arial"/>
                <w:sz w:val="24"/>
                <w:szCs w:val="24"/>
              </w:rPr>
            </w:pPr>
          </w:p>
        </w:tc>
      </w:tr>
      <w:tr w:rsidR="00927F26" w:rsidRPr="007C2E92" w14:paraId="3C9931CA" w14:textId="77777777" w:rsidTr="000566C1">
        <w:trPr>
          <w:cantSplit/>
          <w:trHeight w:val="1414"/>
        </w:trPr>
        <w:tc>
          <w:tcPr>
            <w:tcW w:w="1276" w:type="dxa"/>
            <w:vMerge/>
            <w:shd w:val="clear" w:color="auto" w:fill="FFFFFF"/>
          </w:tcPr>
          <w:p w14:paraId="3F965892"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4961" w:type="dxa"/>
            <w:shd w:val="clear" w:color="auto" w:fill="FFFFFF"/>
          </w:tcPr>
          <w:p w14:paraId="05D0A013"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Ing. Anthony Araya Hidalgo</w:t>
            </w:r>
          </w:p>
          <w:p w14:paraId="2F99B3DF"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Profesional Analista</w:t>
            </w:r>
          </w:p>
          <w:p w14:paraId="369649FA"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Proveeduría Institucional</w:t>
            </w:r>
          </w:p>
        </w:tc>
        <w:tc>
          <w:tcPr>
            <w:tcW w:w="2414" w:type="dxa"/>
            <w:shd w:val="clear" w:color="auto" w:fill="FFFFFF"/>
          </w:tcPr>
          <w:p w14:paraId="3EA0DF1A"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3C9BB5C6" w14:textId="77777777" w:rsidR="00927F26" w:rsidRPr="007C2E92" w:rsidRDefault="00927F26" w:rsidP="000566C1">
            <w:pPr>
              <w:spacing w:after="0" w:line="240" w:lineRule="auto"/>
              <w:ind w:hanging="2"/>
              <w:rPr>
                <w:rFonts w:ascii="Arial" w:eastAsia="Arial" w:hAnsi="Arial" w:cs="Arial"/>
                <w:sz w:val="24"/>
                <w:szCs w:val="24"/>
              </w:rPr>
            </w:pPr>
          </w:p>
        </w:tc>
      </w:tr>
      <w:tr w:rsidR="00927F26" w:rsidRPr="007C2E92" w14:paraId="75B4A42B" w14:textId="77777777" w:rsidTr="000566C1">
        <w:trPr>
          <w:cantSplit/>
          <w:trHeight w:val="1548"/>
        </w:trPr>
        <w:tc>
          <w:tcPr>
            <w:tcW w:w="1276" w:type="dxa"/>
            <w:vMerge/>
            <w:shd w:val="clear" w:color="auto" w:fill="FFFFFF"/>
          </w:tcPr>
          <w:p w14:paraId="5C17E973"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4961" w:type="dxa"/>
            <w:shd w:val="clear" w:color="auto" w:fill="FFFFFF"/>
          </w:tcPr>
          <w:p w14:paraId="1C63BD2B"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Lic. Juan Pablo Chacón Vargas</w:t>
            </w:r>
          </w:p>
          <w:p w14:paraId="395CCCAD"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Jefe, Sección Contabilidad</w:t>
            </w:r>
          </w:p>
          <w:p w14:paraId="3824C936"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Programa Gestión Financiera</w:t>
            </w:r>
          </w:p>
        </w:tc>
        <w:tc>
          <w:tcPr>
            <w:tcW w:w="2414" w:type="dxa"/>
            <w:shd w:val="clear" w:color="auto" w:fill="FFFFFF"/>
          </w:tcPr>
          <w:p w14:paraId="7647F794" w14:textId="77777777" w:rsidR="00927F26" w:rsidRPr="007C2E92" w:rsidRDefault="00927F26" w:rsidP="000566C1">
            <w:pPr>
              <w:widowControl w:val="0"/>
              <w:pBdr>
                <w:top w:val="nil"/>
                <w:left w:val="nil"/>
                <w:bottom w:val="nil"/>
                <w:right w:val="nil"/>
                <w:between w:val="nil"/>
              </w:pBdr>
              <w:spacing w:after="0" w:line="240" w:lineRule="auto"/>
              <w:ind w:hanging="2"/>
              <w:rPr>
                <w:rFonts w:ascii="Arial" w:eastAsia="Arial" w:hAnsi="Arial" w:cs="Arial"/>
                <w:sz w:val="24"/>
                <w:szCs w:val="24"/>
              </w:rPr>
            </w:pPr>
          </w:p>
        </w:tc>
        <w:tc>
          <w:tcPr>
            <w:tcW w:w="1484" w:type="dxa"/>
            <w:shd w:val="clear" w:color="auto" w:fill="FFFFFF"/>
          </w:tcPr>
          <w:p w14:paraId="41F1D63C" w14:textId="77777777" w:rsidR="00927F26" w:rsidRPr="007C2E92" w:rsidRDefault="00927F26" w:rsidP="000566C1">
            <w:pPr>
              <w:widowControl w:val="0"/>
              <w:pBdr>
                <w:top w:val="nil"/>
                <w:left w:val="nil"/>
                <w:bottom w:val="nil"/>
                <w:right w:val="nil"/>
                <w:between w:val="nil"/>
              </w:pBdr>
              <w:spacing w:after="0" w:line="240" w:lineRule="auto"/>
              <w:ind w:hanging="2"/>
              <w:rPr>
                <w:rFonts w:ascii="Arial" w:eastAsia="Arial" w:hAnsi="Arial" w:cs="Arial"/>
                <w:sz w:val="24"/>
                <w:szCs w:val="24"/>
              </w:rPr>
            </w:pPr>
          </w:p>
        </w:tc>
      </w:tr>
      <w:tr w:rsidR="00927F26" w:rsidRPr="007C2E92" w14:paraId="10E76C45" w14:textId="77777777" w:rsidTr="000566C1">
        <w:trPr>
          <w:cantSplit/>
          <w:trHeight w:val="1414"/>
        </w:trPr>
        <w:tc>
          <w:tcPr>
            <w:tcW w:w="1276" w:type="dxa"/>
            <w:vMerge/>
            <w:shd w:val="clear" w:color="auto" w:fill="FFFFFF"/>
          </w:tcPr>
          <w:p w14:paraId="2E0B06CD"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4961" w:type="dxa"/>
            <w:shd w:val="clear" w:color="auto" w:fill="FFFFFF"/>
          </w:tcPr>
          <w:p w14:paraId="78109FA4"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Lic. Jeannette Chavarría Muñoz</w:t>
            </w:r>
          </w:p>
          <w:p w14:paraId="30C9471F"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Coordinadora UCAFS, Sección Contabilidad</w:t>
            </w:r>
          </w:p>
          <w:p w14:paraId="34BA4382"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Programa Gestión Financiera</w:t>
            </w:r>
          </w:p>
        </w:tc>
        <w:tc>
          <w:tcPr>
            <w:tcW w:w="2414" w:type="dxa"/>
            <w:shd w:val="clear" w:color="auto" w:fill="FFFFFF"/>
          </w:tcPr>
          <w:p w14:paraId="68BCA47F"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27FF86E9" w14:textId="77777777" w:rsidR="00927F26" w:rsidRPr="007C2E92" w:rsidRDefault="00927F26" w:rsidP="000566C1">
            <w:pPr>
              <w:spacing w:after="0" w:line="240" w:lineRule="auto"/>
              <w:ind w:hanging="2"/>
              <w:rPr>
                <w:rFonts w:ascii="Arial" w:eastAsia="Arial" w:hAnsi="Arial" w:cs="Arial"/>
                <w:sz w:val="24"/>
                <w:szCs w:val="24"/>
              </w:rPr>
            </w:pPr>
          </w:p>
        </w:tc>
      </w:tr>
      <w:tr w:rsidR="00927F26" w:rsidRPr="007C2E92" w14:paraId="4223A989" w14:textId="77777777" w:rsidTr="000566C1">
        <w:trPr>
          <w:cantSplit/>
          <w:trHeight w:val="1274"/>
        </w:trPr>
        <w:tc>
          <w:tcPr>
            <w:tcW w:w="1276" w:type="dxa"/>
            <w:vMerge/>
            <w:shd w:val="clear" w:color="auto" w:fill="FFFFFF"/>
          </w:tcPr>
          <w:p w14:paraId="19313B75"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4961" w:type="dxa"/>
            <w:shd w:val="clear" w:color="auto" w:fill="FFFFFF"/>
          </w:tcPr>
          <w:p w14:paraId="10C2A750"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Lic. Patricia Domínguez Villalobos</w:t>
            </w:r>
          </w:p>
          <w:p w14:paraId="16995732"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Coordinadora Unidad especializada, Sección Presupuesto, Programa Gestión Financiera</w:t>
            </w:r>
          </w:p>
        </w:tc>
        <w:tc>
          <w:tcPr>
            <w:tcW w:w="2414" w:type="dxa"/>
            <w:shd w:val="clear" w:color="auto" w:fill="FFFFFF"/>
          </w:tcPr>
          <w:p w14:paraId="13B2D64F" w14:textId="77777777" w:rsidR="00927F26" w:rsidRPr="007C2E92" w:rsidRDefault="00927F26" w:rsidP="000566C1">
            <w:pPr>
              <w:widowControl w:val="0"/>
              <w:pBdr>
                <w:top w:val="nil"/>
                <w:left w:val="nil"/>
                <w:bottom w:val="nil"/>
                <w:right w:val="nil"/>
                <w:between w:val="nil"/>
              </w:pBdr>
              <w:spacing w:after="0" w:line="240" w:lineRule="auto"/>
              <w:ind w:hanging="2"/>
              <w:rPr>
                <w:rFonts w:ascii="Arial" w:eastAsia="Arial" w:hAnsi="Arial" w:cs="Arial"/>
                <w:sz w:val="24"/>
                <w:szCs w:val="24"/>
              </w:rPr>
            </w:pPr>
          </w:p>
        </w:tc>
        <w:tc>
          <w:tcPr>
            <w:tcW w:w="1484" w:type="dxa"/>
            <w:shd w:val="clear" w:color="auto" w:fill="FFFFFF"/>
          </w:tcPr>
          <w:p w14:paraId="4ED45091" w14:textId="77777777" w:rsidR="00927F26" w:rsidRPr="007C2E92" w:rsidRDefault="00927F26" w:rsidP="000566C1">
            <w:pPr>
              <w:widowControl w:val="0"/>
              <w:pBdr>
                <w:top w:val="nil"/>
                <w:left w:val="nil"/>
                <w:bottom w:val="nil"/>
                <w:right w:val="nil"/>
                <w:between w:val="nil"/>
              </w:pBdr>
              <w:spacing w:after="0" w:line="240" w:lineRule="auto"/>
              <w:ind w:hanging="2"/>
              <w:rPr>
                <w:rFonts w:ascii="Arial" w:eastAsia="Arial" w:hAnsi="Arial" w:cs="Arial"/>
                <w:sz w:val="24"/>
                <w:szCs w:val="24"/>
              </w:rPr>
            </w:pPr>
          </w:p>
        </w:tc>
      </w:tr>
      <w:tr w:rsidR="00927F26" w:rsidRPr="007C2E92" w14:paraId="51BBAA15" w14:textId="77777777" w:rsidTr="000566C1">
        <w:trPr>
          <w:cantSplit/>
          <w:trHeight w:val="1271"/>
        </w:trPr>
        <w:tc>
          <w:tcPr>
            <w:tcW w:w="1276" w:type="dxa"/>
            <w:vMerge w:val="restart"/>
            <w:shd w:val="clear" w:color="auto" w:fill="FFFFFF"/>
          </w:tcPr>
          <w:p w14:paraId="6D2BC4F5"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Revisó:</w:t>
            </w:r>
          </w:p>
        </w:tc>
        <w:tc>
          <w:tcPr>
            <w:tcW w:w="4961" w:type="dxa"/>
            <w:shd w:val="clear" w:color="auto" w:fill="FFFFFF"/>
          </w:tcPr>
          <w:p w14:paraId="432FE330"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MAP. Nelson Valerio Aguilar</w:t>
            </w:r>
          </w:p>
          <w:p w14:paraId="1F2B8FC4"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Director</w:t>
            </w:r>
          </w:p>
          <w:p w14:paraId="6537182F"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Proveeduría Institucional</w:t>
            </w:r>
          </w:p>
        </w:tc>
        <w:tc>
          <w:tcPr>
            <w:tcW w:w="2414" w:type="dxa"/>
            <w:shd w:val="clear" w:color="auto" w:fill="FFFFFF"/>
          </w:tcPr>
          <w:p w14:paraId="0DA7B5F1"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75FBA37B" w14:textId="77777777" w:rsidR="00927F26" w:rsidRPr="007C2E92" w:rsidRDefault="00927F26" w:rsidP="000566C1">
            <w:pPr>
              <w:spacing w:after="0" w:line="240" w:lineRule="auto"/>
              <w:ind w:hanging="2"/>
              <w:rPr>
                <w:rFonts w:ascii="Arial" w:eastAsia="Arial" w:hAnsi="Arial" w:cs="Arial"/>
                <w:sz w:val="24"/>
                <w:szCs w:val="24"/>
              </w:rPr>
            </w:pPr>
          </w:p>
        </w:tc>
      </w:tr>
      <w:tr w:rsidR="00927F26" w:rsidRPr="007C2E92" w14:paraId="298869E0" w14:textId="77777777" w:rsidTr="000566C1">
        <w:trPr>
          <w:cantSplit/>
          <w:trHeight w:val="1412"/>
        </w:trPr>
        <w:tc>
          <w:tcPr>
            <w:tcW w:w="1276" w:type="dxa"/>
            <w:vMerge/>
            <w:shd w:val="clear" w:color="auto" w:fill="FFFFFF"/>
          </w:tcPr>
          <w:p w14:paraId="2778BFF9" w14:textId="77777777" w:rsidR="00927F26" w:rsidRPr="007C2E92" w:rsidRDefault="00927F26" w:rsidP="000566C1">
            <w:pPr>
              <w:widowControl w:val="0"/>
              <w:pBdr>
                <w:top w:val="nil"/>
                <w:left w:val="nil"/>
                <w:bottom w:val="nil"/>
                <w:right w:val="nil"/>
                <w:between w:val="nil"/>
              </w:pBdr>
              <w:spacing w:after="0" w:line="240" w:lineRule="auto"/>
              <w:rPr>
                <w:rFonts w:ascii="Arial" w:eastAsia="Arial" w:hAnsi="Arial" w:cs="Arial"/>
                <w:sz w:val="24"/>
                <w:szCs w:val="24"/>
              </w:rPr>
            </w:pPr>
          </w:p>
        </w:tc>
        <w:tc>
          <w:tcPr>
            <w:tcW w:w="4961" w:type="dxa"/>
            <w:shd w:val="clear" w:color="auto" w:fill="FFFFFF"/>
          </w:tcPr>
          <w:p w14:paraId="5E696CDA"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 xml:space="preserve">MBA. </w:t>
            </w:r>
            <w:proofErr w:type="spellStart"/>
            <w:r w:rsidRPr="007C2E92">
              <w:rPr>
                <w:rFonts w:ascii="Arial" w:eastAsia="Arial" w:hAnsi="Arial" w:cs="Arial"/>
                <w:sz w:val="24"/>
                <w:szCs w:val="24"/>
              </w:rPr>
              <w:t>Dinia</w:t>
            </w:r>
            <w:proofErr w:type="spellEnd"/>
            <w:r w:rsidRPr="007C2E92">
              <w:rPr>
                <w:rFonts w:ascii="Arial" w:eastAsia="Arial" w:hAnsi="Arial" w:cs="Arial"/>
                <w:sz w:val="24"/>
                <w:szCs w:val="24"/>
              </w:rPr>
              <w:t xml:space="preserve"> Fonseca </w:t>
            </w:r>
            <w:proofErr w:type="spellStart"/>
            <w:r w:rsidRPr="007C2E92">
              <w:rPr>
                <w:rFonts w:ascii="Arial" w:eastAsia="Arial" w:hAnsi="Arial" w:cs="Arial"/>
                <w:sz w:val="24"/>
                <w:szCs w:val="24"/>
              </w:rPr>
              <w:t>Oconor</w:t>
            </w:r>
            <w:proofErr w:type="spellEnd"/>
            <w:r w:rsidRPr="007C2E92">
              <w:rPr>
                <w:rFonts w:ascii="Arial" w:eastAsia="Arial" w:hAnsi="Arial" w:cs="Arial"/>
                <w:sz w:val="24"/>
                <w:szCs w:val="24"/>
              </w:rPr>
              <w:t xml:space="preserve"> </w:t>
            </w:r>
          </w:p>
          <w:p w14:paraId="0D81C648"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Directora</w:t>
            </w:r>
          </w:p>
          <w:p w14:paraId="46A07EE3"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Programa Gestión Financiera</w:t>
            </w:r>
          </w:p>
        </w:tc>
        <w:tc>
          <w:tcPr>
            <w:tcW w:w="2414" w:type="dxa"/>
            <w:shd w:val="clear" w:color="auto" w:fill="FFFFFF"/>
          </w:tcPr>
          <w:p w14:paraId="1630B64A"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65CDF6F8" w14:textId="77777777" w:rsidR="00927F26" w:rsidRPr="007C2E92" w:rsidRDefault="00927F26" w:rsidP="000566C1">
            <w:pPr>
              <w:spacing w:after="0" w:line="240" w:lineRule="auto"/>
              <w:ind w:hanging="2"/>
              <w:rPr>
                <w:rFonts w:ascii="Arial" w:eastAsia="Arial" w:hAnsi="Arial" w:cs="Arial"/>
                <w:sz w:val="24"/>
                <w:szCs w:val="24"/>
              </w:rPr>
            </w:pPr>
          </w:p>
        </w:tc>
      </w:tr>
      <w:tr w:rsidR="00927F26" w:rsidRPr="007C2E92" w14:paraId="58CB68E7" w14:textId="77777777" w:rsidTr="000566C1">
        <w:trPr>
          <w:trHeight w:val="1687"/>
        </w:trPr>
        <w:tc>
          <w:tcPr>
            <w:tcW w:w="1276" w:type="dxa"/>
            <w:shd w:val="clear" w:color="auto" w:fill="FFFFFF"/>
          </w:tcPr>
          <w:p w14:paraId="715291C9"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Aprobó:</w:t>
            </w:r>
          </w:p>
        </w:tc>
        <w:tc>
          <w:tcPr>
            <w:tcW w:w="4961" w:type="dxa"/>
            <w:shd w:val="clear" w:color="auto" w:fill="FFFFFF"/>
          </w:tcPr>
          <w:p w14:paraId="07AFBCF1"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Dr. Miguel Picado Alfaro</w:t>
            </w:r>
          </w:p>
          <w:p w14:paraId="7BF012D5"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Vicerrector de Administración</w:t>
            </w:r>
          </w:p>
        </w:tc>
        <w:tc>
          <w:tcPr>
            <w:tcW w:w="2414" w:type="dxa"/>
            <w:shd w:val="clear" w:color="auto" w:fill="FFFFFF"/>
          </w:tcPr>
          <w:p w14:paraId="440F78CE" w14:textId="77777777" w:rsidR="00927F26" w:rsidRPr="007C2E92" w:rsidRDefault="00927F26" w:rsidP="000566C1">
            <w:pPr>
              <w:spacing w:after="0" w:line="240" w:lineRule="auto"/>
              <w:ind w:hanging="2"/>
              <w:rPr>
                <w:rFonts w:ascii="Arial" w:eastAsia="Arial" w:hAnsi="Arial" w:cs="Arial"/>
                <w:sz w:val="24"/>
                <w:szCs w:val="24"/>
              </w:rPr>
            </w:pPr>
          </w:p>
        </w:tc>
        <w:tc>
          <w:tcPr>
            <w:tcW w:w="1484" w:type="dxa"/>
            <w:shd w:val="clear" w:color="auto" w:fill="FFFFFF"/>
          </w:tcPr>
          <w:p w14:paraId="209A4164" w14:textId="77777777" w:rsidR="00927F26" w:rsidRPr="007C2E92" w:rsidRDefault="00927F26" w:rsidP="000566C1">
            <w:pPr>
              <w:spacing w:after="0" w:line="240" w:lineRule="auto"/>
              <w:ind w:hanging="2"/>
              <w:rPr>
                <w:rFonts w:ascii="Arial" w:eastAsia="Arial" w:hAnsi="Arial" w:cs="Arial"/>
                <w:sz w:val="24"/>
                <w:szCs w:val="24"/>
              </w:rPr>
            </w:pPr>
          </w:p>
        </w:tc>
      </w:tr>
    </w:tbl>
    <w:p w14:paraId="0E843C04" w14:textId="77777777" w:rsidR="00927F26" w:rsidRPr="007C2E92" w:rsidRDefault="00927F26" w:rsidP="00927F26">
      <w:pPr>
        <w:pBdr>
          <w:top w:val="nil"/>
          <w:left w:val="nil"/>
          <w:bottom w:val="nil"/>
          <w:right w:val="nil"/>
          <w:between w:val="nil"/>
        </w:pBdr>
        <w:spacing w:after="0" w:line="240" w:lineRule="auto"/>
        <w:ind w:left="284"/>
        <w:jc w:val="both"/>
        <w:rPr>
          <w:rFonts w:ascii="Arial" w:eastAsia="Arial" w:hAnsi="Arial" w:cs="Arial"/>
          <w:color w:val="000000"/>
          <w:sz w:val="24"/>
          <w:szCs w:val="24"/>
        </w:rPr>
      </w:pPr>
    </w:p>
    <w:p w14:paraId="01FF0D9E" w14:textId="77777777" w:rsidR="00927F26" w:rsidRPr="007C2E92" w:rsidRDefault="00927F26" w:rsidP="00927F26">
      <w:pPr>
        <w:pBdr>
          <w:top w:val="nil"/>
          <w:left w:val="nil"/>
          <w:bottom w:val="nil"/>
          <w:right w:val="nil"/>
          <w:between w:val="nil"/>
        </w:pBdr>
        <w:spacing w:after="0" w:line="240" w:lineRule="auto"/>
        <w:ind w:left="284"/>
        <w:jc w:val="both"/>
        <w:rPr>
          <w:rFonts w:ascii="Arial" w:eastAsia="Arial" w:hAnsi="Arial" w:cs="Arial"/>
          <w:color w:val="000000"/>
          <w:sz w:val="24"/>
          <w:szCs w:val="24"/>
        </w:rPr>
      </w:pPr>
    </w:p>
    <w:p w14:paraId="30BA27AA" w14:textId="77777777" w:rsidR="00927F26" w:rsidRPr="007C2E92" w:rsidRDefault="00927F26" w:rsidP="00927F26">
      <w:pPr>
        <w:numPr>
          <w:ilvl w:val="0"/>
          <w:numId w:val="9"/>
        </w:numPr>
        <w:pBdr>
          <w:top w:val="nil"/>
          <w:left w:val="nil"/>
          <w:bottom w:val="nil"/>
          <w:right w:val="nil"/>
          <w:between w:val="nil"/>
        </w:pBdr>
        <w:spacing w:after="0" w:line="240" w:lineRule="auto"/>
        <w:ind w:left="284"/>
        <w:jc w:val="both"/>
        <w:rPr>
          <w:rFonts w:ascii="Arial" w:eastAsia="Arial" w:hAnsi="Arial" w:cs="Arial"/>
          <w:color w:val="000000"/>
          <w:sz w:val="24"/>
          <w:szCs w:val="24"/>
        </w:rPr>
      </w:pPr>
      <w:r w:rsidRPr="007C2E92">
        <w:rPr>
          <w:rFonts w:ascii="Arial" w:eastAsia="Arial" w:hAnsi="Arial" w:cs="Arial"/>
          <w:b/>
          <w:color w:val="000000"/>
          <w:sz w:val="24"/>
          <w:szCs w:val="24"/>
        </w:rPr>
        <w:t>Revisión o modificación</w:t>
      </w:r>
    </w:p>
    <w:tbl>
      <w:tblPr>
        <w:tblW w:w="8760" w:type="dxa"/>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2410"/>
        <w:gridCol w:w="2871"/>
        <w:gridCol w:w="3479"/>
      </w:tblGrid>
      <w:tr w:rsidR="00927F26" w:rsidRPr="007C2E92" w14:paraId="76B856F9" w14:textId="77777777" w:rsidTr="000566C1">
        <w:trPr>
          <w:trHeight w:val="280"/>
        </w:trPr>
        <w:tc>
          <w:tcPr>
            <w:tcW w:w="2410" w:type="dxa"/>
            <w:shd w:val="clear" w:color="auto" w:fill="BFBFBF"/>
          </w:tcPr>
          <w:p w14:paraId="70906040"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Número de revisión</w:t>
            </w:r>
          </w:p>
        </w:tc>
        <w:tc>
          <w:tcPr>
            <w:tcW w:w="2871" w:type="dxa"/>
            <w:shd w:val="clear" w:color="auto" w:fill="BFBFBF"/>
          </w:tcPr>
          <w:p w14:paraId="6DC970A2"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Fecha de actualización</w:t>
            </w:r>
          </w:p>
        </w:tc>
        <w:tc>
          <w:tcPr>
            <w:tcW w:w="3479" w:type="dxa"/>
            <w:shd w:val="clear" w:color="auto" w:fill="BFBFBF"/>
          </w:tcPr>
          <w:p w14:paraId="63F2DA94"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Descripción de la modificación</w:t>
            </w:r>
          </w:p>
        </w:tc>
      </w:tr>
      <w:tr w:rsidR="00927F26" w:rsidRPr="007C2E92" w14:paraId="379F4FD2" w14:textId="77777777" w:rsidTr="000566C1">
        <w:trPr>
          <w:trHeight w:val="70"/>
        </w:trPr>
        <w:tc>
          <w:tcPr>
            <w:tcW w:w="2410" w:type="dxa"/>
          </w:tcPr>
          <w:p w14:paraId="18ED8E4A" w14:textId="77777777" w:rsidR="00927F26" w:rsidRPr="007C2E92" w:rsidRDefault="00927F26" w:rsidP="000566C1">
            <w:pPr>
              <w:spacing w:after="0" w:line="240" w:lineRule="auto"/>
              <w:ind w:hanging="2"/>
              <w:jc w:val="center"/>
              <w:rPr>
                <w:rFonts w:ascii="Arial" w:eastAsia="Arial" w:hAnsi="Arial" w:cs="Arial"/>
                <w:sz w:val="24"/>
                <w:szCs w:val="24"/>
              </w:rPr>
            </w:pPr>
            <w:r w:rsidRPr="007C2E92">
              <w:rPr>
                <w:rFonts w:ascii="Arial" w:eastAsia="Arial" w:hAnsi="Arial" w:cs="Arial"/>
                <w:sz w:val="24"/>
                <w:szCs w:val="24"/>
              </w:rPr>
              <w:t>1</w:t>
            </w:r>
          </w:p>
        </w:tc>
        <w:tc>
          <w:tcPr>
            <w:tcW w:w="2871" w:type="dxa"/>
          </w:tcPr>
          <w:p w14:paraId="6C785BDC" w14:textId="77777777" w:rsidR="00927F26" w:rsidRPr="007C2E92" w:rsidRDefault="00927F26" w:rsidP="000566C1">
            <w:pPr>
              <w:spacing w:after="0" w:line="240" w:lineRule="auto"/>
              <w:ind w:hanging="2"/>
              <w:jc w:val="center"/>
              <w:rPr>
                <w:rFonts w:ascii="Arial" w:eastAsia="Arial" w:hAnsi="Arial" w:cs="Arial"/>
                <w:sz w:val="24"/>
                <w:szCs w:val="24"/>
              </w:rPr>
            </w:pPr>
            <w:r w:rsidRPr="007C2E92">
              <w:rPr>
                <w:rFonts w:ascii="Arial" w:eastAsia="Arial" w:hAnsi="Arial" w:cs="Arial"/>
                <w:sz w:val="24"/>
                <w:szCs w:val="24"/>
              </w:rPr>
              <w:t>23-setiembre-2025</w:t>
            </w:r>
          </w:p>
        </w:tc>
        <w:tc>
          <w:tcPr>
            <w:tcW w:w="3479" w:type="dxa"/>
          </w:tcPr>
          <w:p w14:paraId="606902DA" w14:textId="77777777" w:rsidR="00927F26" w:rsidRPr="007C2E92" w:rsidRDefault="00927F26" w:rsidP="000566C1">
            <w:pPr>
              <w:spacing w:after="0" w:line="240" w:lineRule="auto"/>
              <w:ind w:hanging="2"/>
              <w:rPr>
                <w:rFonts w:ascii="Arial" w:eastAsia="Arial" w:hAnsi="Arial" w:cs="Arial"/>
                <w:sz w:val="24"/>
                <w:szCs w:val="24"/>
              </w:rPr>
            </w:pPr>
            <w:r w:rsidRPr="007C2E92">
              <w:rPr>
                <w:rFonts w:ascii="Arial" w:eastAsia="Arial" w:hAnsi="Arial" w:cs="Arial"/>
                <w:sz w:val="24"/>
                <w:szCs w:val="24"/>
              </w:rPr>
              <w:t>Se deroga la versión 1 con consecutivo UNA-PGF-PR-006 / UNA-PI-PR-002.</w:t>
            </w:r>
          </w:p>
        </w:tc>
      </w:tr>
    </w:tbl>
    <w:p w14:paraId="75C5F0F8" w14:textId="77777777" w:rsidR="00927F26" w:rsidRPr="007C2E92" w:rsidRDefault="00927F26" w:rsidP="00927F26">
      <w:pPr>
        <w:pBdr>
          <w:top w:val="nil"/>
          <w:left w:val="nil"/>
          <w:bottom w:val="nil"/>
          <w:right w:val="nil"/>
          <w:between w:val="nil"/>
        </w:pBdr>
        <w:spacing w:after="0" w:line="240" w:lineRule="auto"/>
        <w:ind w:left="567"/>
        <w:jc w:val="both"/>
        <w:rPr>
          <w:rFonts w:ascii="Arial" w:eastAsia="Arial" w:hAnsi="Arial" w:cs="Arial"/>
          <w:color w:val="000000"/>
          <w:sz w:val="24"/>
          <w:szCs w:val="24"/>
          <w:lang w:eastAsia="es-CR"/>
        </w:rPr>
      </w:pPr>
    </w:p>
    <w:p w14:paraId="45BA5773" w14:textId="77777777" w:rsidR="00927F26" w:rsidRPr="007C2E92" w:rsidRDefault="00927F26" w:rsidP="00927F26">
      <w:pPr>
        <w:pBdr>
          <w:top w:val="nil"/>
          <w:left w:val="nil"/>
          <w:bottom w:val="nil"/>
          <w:right w:val="nil"/>
          <w:between w:val="nil"/>
        </w:pBdr>
        <w:spacing w:after="0" w:line="240" w:lineRule="auto"/>
        <w:ind w:left="567"/>
        <w:jc w:val="both"/>
        <w:rPr>
          <w:rFonts w:ascii="Arial" w:eastAsia="Arial" w:hAnsi="Arial" w:cs="Arial"/>
          <w:color w:val="000000"/>
          <w:sz w:val="24"/>
          <w:szCs w:val="24"/>
          <w:lang w:eastAsia="es-CR"/>
        </w:rPr>
      </w:pPr>
    </w:p>
    <w:p w14:paraId="727D17C5" w14:textId="77777777" w:rsidR="00927F26" w:rsidRPr="00927F26" w:rsidRDefault="00927F26" w:rsidP="00927F26">
      <w:pPr>
        <w:suppressAutoHyphens/>
        <w:autoSpaceDN w:val="0"/>
        <w:spacing w:after="0" w:line="240" w:lineRule="auto"/>
        <w:ind w:left="567"/>
        <w:jc w:val="center"/>
        <w:rPr>
          <w:rFonts w:ascii="Arial" w:hAnsi="Arial" w:cs="Arial"/>
          <w:b/>
          <w:bCs/>
          <w:sz w:val="24"/>
          <w:szCs w:val="24"/>
        </w:rPr>
      </w:pPr>
    </w:p>
    <w:p w14:paraId="369547ED" w14:textId="77777777" w:rsidR="00927F26" w:rsidRPr="00927F26" w:rsidRDefault="00927F26"/>
    <w:sectPr w:rsidR="00927F26" w:rsidRPr="00927F2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F20A3" w14:textId="77777777" w:rsidR="00927F26" w:rsidRPr="004964EB" w:rsidRDefault="00927F26">
    <w:pPr>
      <w:rPr>
        <w:lang w:val="es-MX"/>
      </w:rPr>
    </w:pPr>
    <w:r>
      <w:rPr>
        <w:rFonts w:ascii="Arial" w:eastAsia="Arial" w:hAnsi="Arial" w:cs="Arial"/>
        <w:i/>
        <w:sz w:val="16"/>
        <w:lang w:val="es-MX"/>
      </w:rPr>
      <w:t xml:space="preserve"> </w:t>
    </w:r>
  </w:p>
  <w:p w14:paraId="03D3B9F3" w14:textId="77777777" w:rsidR="00927F26" w:rsidRDefault="00927F2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74AB0" w14:textId="77777777" w:rsidR="00927F26" w:rsidRPr="001D3569" w:rsidRDefault="00927F26">
    <w:pPr>
      <w:pStyle w:val="Piedepgina"/>
      <w:jc w:val="right"/>
      <w:rPr>
        <w:rFonts w:ascii="Arial" w:hAnsi="Arial" w:cs="Arial"/>
        <w:sz w:val="18"/>
        <w:szCs w:val="18"/>
      </w:rPr>
    </w:pPr>
    <w:r w:rsidRPr="001D3569">
      <w:rPr>
        <w:rFonts w:ascii="Arial" w:hAnsi="Arial" w:cs="Arial"/>
        <w:sz w:val="18"/>
        <w:szCs w:val="18"/>
        <w:lang w:val="es-ES"/>
      </w:rPr>
      <w:t xml:space="preserve">Página </w:t>
    </w:r>
    <w:r w:rsidRPr="001D3569">
      <w:rPr>
        <w:rFonts w:ascii="Arial" w:hAnsi="Arial" w:cs="Arial"/>
        <w:b/>
        <w:bCs/>
        <w:sz w:val="18"/>
        <w:szCs w:val="18"/>
      </w:rPr>
      <w:fldChar w:fldCharType="begin"/>
    </w:r>
    <w:r w:rsidRPr="001D3569">
      <w:rPr>
        <w:rFonts w:ascii="Arial" w:hAnsi="Arial" w:cs="Arial"/>
        <w:b/>
        <w:bCs/>
        <w:sz w:val="18"/>
        <w:szCs w:val="18"/>
      </w:rPr>
      <w:instrText>PAGE</w:instrText>
    </w:r>
    <w:r w:rsidRPr="001D3569">
      <w:rPr>
        <w:rFonts w:ascii="Arial" w:hAnsi="Arial" w:cs="Arial"/>
        <w:b/>
        <w:bCs/>
        <w:sz w:val="18"/>
        <w:szCs w:val="18"/>
      </w:rPr>
      <w:fldChar w:fldCharType="separate"/>
    </w:r>
    <w:r w:rsidRPr="001D3569">
      <w:rPr>
        <w:rFonts w:ascii="Arial" w:hAnsi="Arial" w:cs="Arial"/>
        <w:b/>
        <w:bCs/>
        <w:sz w:val="18"/>
        <w:szCs w:val="18"/>
        <w:lang w:val="es-ES"/>
      </w:rPr>
      <w:t>2</w:t>
    </w:r>
    <w:r w:rsidRPr="001D3569">
      <w:rPr>
        <w:rFonts w:ascii="Arial" w:hAnsi="Arial" w:cs="Arial"/>
        <w:b/>
        <w:bCs/>
        <w:sz w:val="18"/>
        <w:szCs w:val="18"/>
      </w:rPr>
      <w:fldChar w:fldCharType="end"/>
    </w:r>
    <w:r w:rsidRPr="001D3569">
      <w:rPr>
        <w:rFonts w:ascii="Arial" w:hAnsi="Arial" w:cs="Arial"/>
        <w:sz w:val="18"/>
        <w:szCs w:val="18"/>
        <w:lang w:val="es-ES"/>
      </w:rPr>
      <w:t xml:space="preserve"> de </w:t>
    </w:r>
    <w:r w:rsidRPr="001D3569">
      <w:rPr>
        <w:rFonts w:ascii="Arial" w:hAnsi="Arial" w:cs="Arial"/>
        <w:b/>
        <w:bCs/>
        <w:sz w:val="18"/>
        <w:szCs w:val="18"/>
      </w:rPr>
      <w:fldChar w:fldCharType="begin"/>
    </w:r>
    <w:r w:rsidRPr="001D3569">
      <w:rPr>
        <w:rFonts w:ascii="Arial" w:hAnsi="Arial" w:cs="Arial"/>
        <w:b/>
        <w:bCs/>
        <w:sz w:val="18"/>
        <w:szCs w:val="18"/>
      </w:rPr>
      <w:instrText>NUMPAGES</w:instrText>
    </w:r>
    <w:r w:rsidRPr="001D3569">
      <w:rPr>
        <w:rFonts w:ascii="Arial" w:hAnsi="Arial" w:cs="Arial"/>
        <w:b/>
        <w:bCs/>
        <w:sz w:val="18"/>
        <w:szCs w:val="18"/>
      </w:rPr>
      <w:fldChar w:fldCharType="separate"/>
    </w:r>
    <w:r w:rsidRPr="001D3569">
      <w:rPr>
        <w:rFonts w:ascii="Arial" w:hAnsi="Arial" w:cs="Arial"/>
        <w:b/>
        <w:bCs/>
        <w:sz w:val="18"/>
        <w:szCs w:val="18"/>
        <w:lang w:val="es-ES"/>
      </w:rPr>
      <w:t>2</w:t>
    </w:r>
    <w:r w:rsidRPr="001D3569">
      <w:rPr>
        <w:rFonts w:ascii="Arial" w:hAnsi="Arial" w:cs="Arial"/>
        <w:b/>
        <w:bCs/>
        <w:sz w:val="18"/>
        <w:szCs w:val="18"/>
      </w:rPr>
      <w:fldChar w:fldCharType="end"/>
    </w:r>
  </w:p>
  <w:p w14:paraId="4CE914E2" w14:textId="77777777" w:rsidR="00927F26" w:rsidRDefault="00927F26"/>
  <w:p w14:paraId="24D2FEDD" w14:textId="77777777" w:rsidR="00927F26" w:rsidRDefault="00927F26"/>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66BD4" w14:textId="77777777" w:rsidR="00927F26" w:rsidRPr="001404F6" w:rsidRDefault="00927F26" w:rsidP="001404F6">
    <w:pPr>
      <w:pStyle w:val="Piedepgina"/>
    </w:pPr>
    <w:r w:rsidRPr="001404F6">
      <w:t xml:space="preserve"> </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F2E145" w14:textId="77777777" w:rsidR="00927F26" w:rsidRDefault="00927F26">
    <w:pPr>
      <w:ind w:left="-2268" w:right="63"/>
    </w:pPr>
  </w:p>
  <w:tbl>
    <w:tblPr>
      <w:tblW w:w="1034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85"/>
      <w:gridCol w:w="4536"/>
      <w:gridCol w:w="2268"/>
      <w:gridCol w:w="1559"/>
    </w:tblGrid>
    <w:tr w:rsidR="00927F26" w:rsidRPr="00D83840" w14:paraId="2BBA1785" w14:textId="77777777" w:rsidTr="00AE6364">
      <w:trPr>
        <w:trHeight w:val="227"/>
      </w:trPr>
      <w:tc>
        <w:tcPr>
          <w:tcW w:w="1985" w:type="dxa"/>
          <w:vMerge w:val="restart"/>
        </w:tcPr>
        <w:p w14:paraId="1EB8F2EE"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Arial" w:eastAsia="Times New Roman" w:hAnsi="Arial" w:cs="Arial"/>
              <w:b/>
              <w:lang w:val="es-ES" w:eastAsia="es-CR"/>
            </w:rPr>
            <w:t xml:space="preserve">  </w:t>
          </w:r>
          <w:r w:rsidRPr="00D83840">
            <w:rPr>
              <w:rFonts w:ascii="Calibri" w:eastAsia="Calibri" w:hAnsi="Calibri"/>
              <w:noProof/>
              <w:lang w:val="en-US"/>
            </w:rPr>
            <w:pict w14:anchorId="18B9AC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7" type="#_x0000_t75" style="position:absolute;margin-left:3pt;margin-top:10.6pt;width:84.35pt;height:45.75pt;z-index:251659264;visibility:visible;mso-position-horizontal-relative:text;mso-position-vertical-relative:text">
                <v:imagedata r:id="rId1" o:title=""/>
              </v:shape>
            </w:pict>
          </w:r>
        </w:p>
      </w:tc>
      <w:tc>
        <w:tcPr>
          <w:tcW w:w="4536" w:type="dxa"/>
          <w:vMerge w:val="restart"/>
        </w:tcPr>
        <w:p w14:paraId="384C464A" w14:textId="77777777" w:rsidR="00927F26" w:rsidRPr="00D83840" w:rsidRDefault="00927F26" w:rsidP="005E463B">
          <w:pPr>
            <w:autoSpaceDE w:val="0"/>
            <w:autoSpaceDN w:val="0"/>
            <w:adjustRightInd w:val="0"/>
            <w:spacing w:after="0" w:line="240" w:lineRule="auto"/>
            <w:jc w:val="center"/>
            <w:rPr>
              <w:rFonts w:ascii="Arial" w:eastAsia="Calibri" w:hAnsi="Arial" w:cs="Arial"/>
              <w:color w:val="000000"/>
              <w:sz w:val="10"/>
              <w:szCs w:val="10"/>
              <w:lang w:val="es-MX"/>
            </w:rPr>
          </w:pPr>
        </w:p>
        <w:p w14:paraId="613156B4" w14:textId="77777777" w:rsidR="00927F26" w:rsidRPr="00D83840" w:rsidRDefault="00927F26" w:rsidP="005E463B">
          <w:pPr>
            <w:autoSpaceDE w:val="0"/>
            <w:autoSpaceDN w:val="0"/>
            <w:adjustRightInd w:val="0"/>
            <w:spacing w:after="0" w:line="240" w:lineRule="auto"/>
            <w:jc w:val="center"/>
            <w:rPr>
              <w:rFonts w:ascii="Arial" w:eastAsia="Calibri" w:hAnsi="Arial" w:cs="Arial"/>
              <w:color w:val="000000"/>
              <w:sz w:val="24"/>
              <w:szCs w:val="24"/>
              <w:lang w:val="es-MX"/>
            </w:rPr>
          </w:pPr>
          <w:r w:rsidRPr="00D83840">
            <w:rPr>
              <w:rFonts w:ascii="Arial" w:eastAsia="Calibri" w:hAnsi="Arial" w:cs="Arial"/>
              <w:color w:val="000000"/>
              <w:sz w:val="24"/>
              <w:szCs w:val="24"/>
              <w:lang w:val="es-MX"/>
            </w:rPr>
            <w:t>Proveeduría Institucional</w:t>
          </w:r>
        </w:p>
      </w:tc>
      <w:tc>
        <w:tcPr>
          <w:tcW w:w="2268" w:type="dxa"/>
        </w:tcPr>
        <w:p w14:paraId="3CD81EB8" w14:textId="77777777" w:rsidR="00927F26" w:rsidRPr="00D83840" w:rsidRDefault="00927F26" w:rsidP="005E463B">
          <w:pPr>
            <w:spacing w:after="0" w:line="240" w:lineRule="auto"/>
            <w:rPr>
              <w:rFonts w:ascii="Arial" w:eastAsia="Calibri" w:hAnsi="Arial" w:cs="Arial"/>
              <w:bCs/>
              <w:kern w:val="36"/>
              <w:sz w:val="16"/>
              <w:szCs w:val="16"/>
              <w:lang w:val="it-IT"/>
            </w:rPr>
          </w:pPr>
          <w:r w:rsidRPr="00D83840">
            <w:rPr>
              <w:rFonts w:ascii="Arial" w:eastAsia="Calibri" w:hAnsi="Arial" w:cs="Arial"/>
              <w:bCs/>
              <w:kern w:val="36"/>
              <w:sz w:val="16"/>
              <w:szCs w:val="16"/>
              <w:lang w:val="it-IT"/>
            </w:rPr>
            <w:t>Código: UNA-PI-PR-003</w:t>
          </w:r>
        </w:p>
      </w:tc>
      <w:tc>
        <w:tcPr>
          <w:tcW w:w="1559" w:type="dxa"/>
          <w:vMerge w:val="restart"/>
        </w:tcPr>
        <w:p w14:paraId="4A1F3ED4"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Calibri" w:eastAsia="Calibri" w:hAnsi="Calibri"/>
              <w:noProof/>
              <w:lang w:val="en-US"/>
            </w:rPr>
            <w:pict w14:anchorId="2612B693">
              <v:shape id="Imagen 1" o:spid="_x0000_s1028" type="#_x0000_t75" style="position:absolute;margin-left:7.65pt;margin-top:3.85pt;width:57pt;height:71.1pt;z-index:-251656192;visibility:visible;mso-position-horizontal-relative:text;mso-position-vertical-relative:text">
                <v:imagedata r:id="rId2" o:title=""/>
              </v:shape>
            </w:pict>
          </w:r>
        </w:p>
      </w:tc>
    </w:tr>
    <w:tr w:rsidR="00927F26" w:rsidRPr="00D83840" w14:paraId="5C80627A" w14:textId="77777777" w:rsidTr="00AE6364">
      <w:trPr>
        <w:trHeight w:val="345"/>
      </w:trPr>
      <w:tc>
        <w:tcPr>
          <w:tcW w:w="1985" w:type="dxa"/>
          <w:vMerge/>
        </w:tcPr>
        <w:p w14:paraId="1D250E41" w14:textId="77777777" w:rsidR="00927F26" w:rsidRPr="00D83840" w:rsidRDefault="00927F26" w:rsidP="005E463B">
          <w:pPr>
            <w:spacing w:after="0" w:line="240" w:lineRule="auto"/>
            <w:rPr>
              <w:rFonts w:ascii="Arial" w:eastAsia="Calibri" w:hAnsi="Arial" w:cs="Arial"/>
              <w:bCs/>
              <w:kern w:val="36"/>
              <w:sz w:val="16"/>
              <w:szCs w:val="16"/>
            </w:rPr>
          </w:pPr>
        </w:p>
      </w:tc>
      <w:tc>
        <w:tcPr>
          <w:tcW w:w="4536" w:type="dxa"/>
          <w:vMerge/>
        </w:tcPr>
        <w:p w14:paraId="31A08B49" w14:textId="77777777" w:rsidR="00927F26" w:rsidRPr="00D83840" w:rsidRDefault="00927F26" w:rsidP="005E463B">
          <w:pPr>
            <w:spacing w:after="0" w:line="240" w:lineRule="auto"/>
            <w:rPr>
              <w:rFonts w:ascii="Arial" w:eastAsia="Calibri" w:hAnsi="Arial" w:cs="Arial"/>
              <w:bCs/>
              <w:kern w:val="36"/>
              <w:sz w:val="16"/>
              <w:szCs w:val="16"/>
            </w:rPr>
          </w:pPr>
        </w:p>
      </w:tc>
      <w:tc>
        <w:tcPr>
          <w:tcW w:w="2268" w:type="dxa"/>
        </w:tcPr>
        <w:p w14:paraId="770C47C8"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Arial" w:eastAsia="Calibri" w:hAnsi="Arial" w:cs="Arial"/>
              <w:bCs/>
              <w:kern w:val="36"/>
              <w:sz w:val="16"/>
              <w:szCs w:val="16"/>
            </w:rPr>
            <w:t>Fecha: febrero 2025</w:t>
          </w:r>
        </w:p>
      </w:tc>
      <w:tc>
        <w:tcPr>
          <w:tcW w:w="1559" w:type="dxa"/>
          <w:vMerge/>
        </w:tcPr>
        <w:p w14:paraId="2D2AC2D0" w14:textId="77777777" w:rsidR="00927F26" w:rsidRPr="00D83840" w:rsidRDefault="00927F26" w:rsidP="005E463B">
          <w:pPr>
            <w:spacing w:after="0" w:line="240" w:lineRule="auto"/>
            <w:rPr>
              <w:rFonts w:ascii="Arial" w:eastAsia="Calibri" w:hAnsi="Arial" w:cs="Arial"/>
              <w:bCs/>
              <w:kern w:val="36"/>
              <w:sz w:val="16"/>
              <w:szCs w:val="16"/>
            </w:rPr>
          </w:pPr>
        </w:p>
      </w:tc>
    </w:tr>
    <w:tr w:rsidR="00927F26" w:rsidRPr="00D83840" w14:paraId="72B2A979" w14:textId="77777777" w:rsidTr="00AE6364">
      <w:trPr>
        <w:trHeight w:val="284"/>
      </w:trPr>
      <w:tc>
        <w:tcPr>
          <w:tcW w:w="1985" w:type="dxa"/>
          <w:vMerge/>
        </w:tcPr>
        <w:p w14:paraId="444ED602" w14:textId="77777777" w:rsidR="00927F26" w:rsidRPr="00D83840" w:rsidRDefault="00927F26" w:rsidP="005E463B">
          <w:pPr>
            <w:spacing w:after="0" w:line="240" w:lineRule="auto"/>
            <w:rPr>
              <w:rFonts w:ascii="Arial" w:eastAsia="Calibri" w:hAnsi="Arial" w:cs="Arial"/>
              <w:bCs/>
              <w:kern w:val="36"/>
              <w:sz w:val="16"/>
              <w:szCs w:val="16"/>
            </w:rPr>
          </w:pPr>
        </w:p>
      </w:tc>
      <w:tc>
        <w:tcPr>
          <w:tcW w:w="4536" w:type="dxa"/>
        </w:tcPr>
        <w:p w14:paraId="1F74F5F4" w14:textId="77777777" w:rsidR="00927F26" w:rsidRPr="00D83840" w:rsidRDefault="00927F26" w:rsidP="005E463B">
          <w:pPr>
            <w:autoSpaceDE w:val="0"/>
            <w:autoSpaceDN w:val="0"/>
            <w:adjustRightInd w:val="0"/>
            <w:spacing w:after="0" w:line="240" w:lineRule="auto"/>
            <w:jc w:val="center"/>
            <w:rPr>
              <w:rFonts w:ascii="Arial" w:eastAsia="Calibri" w:hAnsi="Arial" w:cs="Arial"/>
              <w:color w:val="000000"/>
              <w:sz w:val="20"/>
              <w:szCs w:val="20"/>
              <w:lang w:val="es-MX"/>
            </w:rPr>
          </w:pPr>
          <w:r w:rsidRPr="00D83840">
            <w:rPr>
              <w:rFonts w:ascii="Arial" w:eastAsia="Calibri" w:hAnsi="Arial" w:cs="Arial"/>
              <w:color w:val="000000"/>
              <w:sz w:val="20"/>
              <w:szCs w:val="20"/>
              <w:lang w:val="es-MX"/>
            </w:rPr>
            <w:t xml:space="preserve">“Procedimiento </w:t>
          </w:r>
          <w:r w:rsidRPr="00D83840">
            <w:rPr>
              <w:rFonts w:ascii="Arial" w:eastAsia="Calibri" w:hAnsi="Arial" w:cs="Arial"/>
              <w:sz w:val="20"/>
              <w:szCs w:val="20"/>
              <w:lang w:val="es-MX"/>
            </w:rPr>
            <w:t>para gestionar la contratación pública en la Universidad Nacional”</w:t>
          </w:r>
        </w:p>
      </w:tc>
      <w:tc>
        <w:tcPr>
          <w:tcW w:w="2268" w:type="dxa"/>
        </w:tcPr>
        <w:p w14:paraId="650C4258"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Arial" w:eastAsia="Calibri" w:hAnsi="Arial" w:cs="Arial"/>
              <w:bCs/>
              <w:kern w:val="36"/>
              <w:sz w:val="16"/>
              <w:szCs w:val="16"/>
            </w:rPr>
            <w:t>Número de versión: 1</w:t>
          </w:r>
        </w:p>
      </w:tc>
      <w:tc>
        <w:tcPr>
          <w:tcW w:w="1559" w:type="dxa"/>
          <w:vMerge/>
        </w:tcPr>
        <w:p w14:paraId="225A065C" w14:textId="77777777" w:rsidR="00927F26" w:rsidRPr="00D83840" w:rsidRDefault="00927F26" w:rsidP="005E463B">
          <w:pPr>
            <w:spacing w:after="0" w:line="240" w:lineRule="auto"/>
            <w:rPr>
              <w:rFonts w:ascii="Arial" w:eastAsia="Calibri" w:hAnsi="Arial" w:cs="Arial"/>
              <w:bCs/>
              <w:kern w:val="36"/>
              <w:sz w:val="16"/>
              <w:szCs w:val="16"/>
            </w:rPr>
          </w:pPr>
        </w:p>
      </w:tc>
    </w:tr>
    <w:tr w:rsidR="00927F26" w:rsidRPr="00D83840" w14:paraId="744E6CE9" w14:textId="77777777" w:rsidTr="00AE6364">
      <w:trPr>
        <w:trHeight w:val="235"/>
      </w:trPr>
      <w:tc>
        <w:tcPr>
          <w:tcW w:w="1985" w:type="dxa"/>
          <w:vMerge/>
        </w:tcPr>
        <w:p w14:paraId="4B1C6DAF" w14:textId="77777777" w:rsidR="00927F26" w:rsidRPr="00D83840" w:rsidRDefault="00927F26" w:rsidP="005E463B">
          <w:pPr>
            <w:spacing w:after="0" w:line="240" w:lineRule="auto"/>
            <w:rPr>
              <w:rFonts w:ascii="Arial" w:eastAsia="Calibri" w:hAnsi="Arial" w:cs="Arial"/>
              <w:bCs/>
              <w:kern w:val="36"/>
              <w:sz w:val="16"/>
              <w:szCs w:val="16"/>
            </w:rPr>
          </w:pPr>
        </w:p>
      </w:tc>
      <w:tc>
        <w:tcPr>
          <w:tcW w:w="4536" w:type="dxa"/>
        </w:tcPr>
        <w:p w14:paraId="1CA8AD9D"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Arial" w:eastAsia="Calibri" w:hAnsi="Arial" w:cs="Arial"/>
              <w:bCs/>
              <w:kern w:val="36"/>
              <w:sz w:val="16"/>
              <w:szCs w:val="16"/>
            </w:rPr>
            <w:t xml:space="preserve">Código de ficha de procesos: </w:t>
          </w:r>
          <w:r w:rsidRPr="00D83840">
            <w:rPr>
              <w:rFonts w:ascii="Arial" w:eastAsia="Calibri" w:hAnsi="Arial" w:cs="Arial"/>
              <w:b/>
              <w:kern w:val="36"/>
              <w:sz w:val="16"/>
              <w:szCs w:val="16"/>
            </w:rPr>
            <w:t>No aplica</w:t>
          </w:r>
        </w:p>
      </w:tc>
      <w:tc>
        <w:tcPr>
          <w:tcW w:w="2268" w:type="dxa"/>
        </w:tcPr>
        <w:p w14:paraId="0E192E1D" w14:textId="77777777" w:rsidR="00927F26" w:rsidRPr="00D83840" w:rsidRDefault="00927F26" w:rsidP="005E463B">
          <w:pPr>
            <w:spacing w:after="0" w:line="240" w:lineRule="auto"/>
            <w:rPr>
              <w:rFonts w:ascii="Arial" w:eastAsia="Calibri" w:hAnsi="Arial" w:cs="Arial"/>
              <w:bCs/>
              <w:kern w:val="36"/>
              <w:sz w:val="16"/>
              <w:szCs w:val="16"/>
            </w:rPr>
          </w:pPr>
          <w:r w:rsidRPr="00D83840">
            <w:rPr>
              <w:rFonts w:ascii="Arial" w:eastAsia="Calibri" w:hAnsi="Arial" w:cs="Arial"/>
              <w:bCs/>
              <w:kern w:val="36"/>
              <w:sz w:val="16"/>
              <w:szCs w:val="16"/>
            </w:rPr>
            <w:t xml:space="preserve">Número de página: </w:t>
          </w:r>
          <w:r w:rsidRPr="00D83840">
            <w:rPr>
              <w:rFonts w:ascii="Arial" w:eastAsia="Calibri" w:hAnsi="Arial" w:cs="Arial"/>
              <w:b/>
              <w:bCs/>
              <w:kern w:val="36"/>
              <w:sz w:val="16"/>
              <w:szCs w:val="16"/>
            </w:rPr>
            <w:fldChar w:fldCharType="begin"/>
          </w:r>
          <w:r w:rsidRPr="00D83840">
            <w:rPr>
              <w:rFonts w:ascii="Arial" w:eastAsia="Calibri" w:hAnsi="Arial" w:cs="Arial"/>
              <w:b/>
              <w:bCs/>
              <w:kern w:val="36"/>
              <w:sz w:val="16"/>
              <w:szCs w:val="16"/>
            </w:rPr>
            <w:instrText>PAGE  \* Arabic  \* MERGEFORMAT</w:instrText>
          </w:r>
          <w:r w:rsidRPr="00D83840">
            <w:rPr>
              <w:rFonts w:ascii="Arial" w:eastAsia="Calibri" w:hAnsi="Arial" w:cs="Arial"/>
              <w:b/>
              <w:bCs/>
              <w:kern w:val="36"/>
              <w:sz w:val="16"/>
              <w:szCs w:val="16"/>
            </w:rPr>
            <w:fldChar w:fldCharType="separate"/>
          </w:r>
          <w:r w:rsidRPr="00D83840">
            <w:rPr>
              <w:rFonts w:ascii="Arial" w:eastAsia="Calibri" w:hAnsi="Arial" w:cs="Arial"/>
              <w:b/>
              <w:bCs/>
              <w:noProof/>
              <w:kern w:val="36"/>
              <w:sz w:val="16"/>
              <w:szCs w:val="16"/>
              <w:lang w:val="es-ES"/>
            </w:rPr>
            <w:t>19</w:t>
          </w:r>
          <w:r w:rsidRPr="00D83840">
            <w:rPr>
              <w:rFonts w:ascii="Arial" w:eastAsia="Calibri" w:hAnsi="Arial" w:cs="Arial"/>
              <w:b/>
              <w:bCs/>
              <w:kern w:val="36"/>
              <w:sz w:val="16"/>
              <w:szCs w:val="16"/>
            </w:rPr>
            <w:fldChar w:fldCharType="end"/>
          </w:r>
          <w:r w:rsidRPr="00D83840">
            <w:rPr>
              <w:rFonts w:ascii="Arial" w:eastAsia="Calibri" w:hAnsi="Arial" w:cs="Arial"/>
              <w:bCs/>
              <w:kern w:val="36"/>
              <w:sz w:val="16"/>
              <w:szCs w:val="16"/>
              <w:lang w:val="es-ES"/>
            </w:rPr>
            <w:t xml:space="preserve"> de </w:t>
          </w:r>
          <w:r w:rsidRPr="00D83840">
            <w:rPr>
              <w:rFonts w:ascii="Arial" w:eastAsia="Calibri" w:hAnsi="Arial" w:cs="Arial"/>
              <w:b/>
              <w:bCs/>
              <w:kern w:val="36"/>
              <w:sz w:val="16"/>
              <w:szCs w:val="16"/>
            </w:rPr>
            <w:fldChar w:fldCharType="begin"/>
          </w:r>
          <w:r w:rsidRPr="00D83840">
            <w:rPr>
              <w:rFonts w:ascii="Arial" w:eastAsia="Calibri" w:hAnsi="Arial" w:cs="Arial"/>
              <w:b/>
              <w:bCs/>
              <w:kern w:val="36"/>
              <w:sz w:val="16"/>
              <w:szCs w:val="16"/>
            </w:rPr>
            <w:instrText>NUMPAGES  \* Arabic  \* MERGEFORMAT</w:instrText>
          </w:r>
          <w:r w:rsidRPr="00D83840">
            <w:rPr>
              <w:rFonts w:ascii="Arial" w:eastAsia="Calibri" w:hAnsi="Arial" w:cs="Arial"/>
              <w:b/>
              <w:bCs/>
              <w:kern w:val="36"/>
              <w:sz w:val="16"/>
              <w:szCs w:val="16"/>
            </w:rPr>
            <w:fldChar w:fldCharType="separate"/>
          </w:r>
          <w:r w:rsidRPr="00D83840">
            <w:rPr>
              <w:rFonts w:ascii="Arial" w:eastAsia="Calibri" w:hAnsi="Arial" w:cs="Arial"/>
              <w:b/>
              <w:bCs/>
              <w:noProof/>
              <w:kern w:val="36"/>
              <w:sz w:val="16"/>
              <w:szCs w:val="16"/>
              <w:lang w:val="es-ES"/>
            </w:rPr>
            <w:t>20</w:t>
          </w:r>
          <w:r w:rsidRPr="00D83840">
            <w:rPr>
              <w:rFonts w:ascii="Arial" w:eastAsia="Calibri" w:hAnsi="Arial" w:cs="Arial"/>
              <w:b/>
              <w:bCs/>
              <w:kern w:val="36"/>
              <w:sz w:val="16"/>
              <w:szCs w:val="16"/>
            </w:rPr>
            <w:fldChar w:fldCharType="end"/>
          </w:r>
        </w:p>
      </w:tc>
      <w:tc>
        <w:tcPr>
          <w:tcW w:w="1559" w:type="dxa"/>
          <w:vMerge/>
        </w:tcPr>
        <w:p w14:paraId="770ACC59" w14:textId="77777777" w:rsidR="00927F26" w:rsidRPr="00D83840" w:rsidRDefault="00927F26" w:rsidP="005E463B">
          <w:pPr>
            <w:spacing w:after="0" w:line="240" w:lineRule="auto"/>
            <w:rPr>
              <w:rFonts w:ascii="Arial" w:eastAsia="Calibri" w:hAnsi="Arial" w:cs="Arial"/>
              <w:bCs/>
              <w:kern w:val="36"/>
              <w:sz w:val="16"/>
              <w:szCs w:val="16"/>
            </w:rPr>
          </w:pPr>
        </w:p>
      </w:tc>
    </w:tr>
  </w:tbl>
  <w:p w14:paraId="7FB52D23" w14:textId="77777777" w:rsidR="00927F26" w:rsidRDefault="00927F26"/>
  <w:p w14:paraId="649199B7" w14:textId="77777777" w:rsidR="00927F26" w:rsidRDefault="00927F2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446F31"/>
    <w:multiLevelType w:val="hybridMultilevel"/>
    <w:tmpl w:val="DF2A08D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2A2A580C"/>
    <w:multiLevelType w:val="multilevel"/>
    <w:tmpl w:val="5BA06ABA"/>
    <w:lvl w:ilvl="0">
      <w:start w:val="1"/>
      <w:numFmt w:val="lowerRoman"/>
      <w:lvlText w:val="%1."/>
      <w:lvlJc w:val="right"/>
      <w:pPr>
        <w:ind w:left="718" w:hanging="360"/>
      </w:pPr>
      <w:rPr>
        <w:vertAlign w:val="baseline"/>
      </w:rPr>
    </w:lvl>
    <w:lvl w:ilvl="1">
      <w:start w:val="1"/>
      <w:numFmt w:val="lowerLetter"/>
      <w:lvlText w:val="%2."/>
      <w:lvlJc w:val="left"/>
      <w:pPr>
        <w:ind w:left="1438" w:hanging="360"/>
      </w:pPr>
      <w:rPr>
        <w:vertAlign w:val="baseline"/>
      </w:rPr>
    </w:lvl>
    <w:lvl w:ilvl="2">
      <w:start w:val="1"/>
      <w:numFmt w:val="lowerRoman"/>
      <w:lvlText w:val="%3."/>
      <w:lvlJc w:val="right"/>
      <w:pPr>
        <w:ind w:left="2158" w:hanging="180"/>
      </w:pPr>
      <w:rPr>
        <w:vertAlign w:val="baseline"/>
      </w:rPr>
    </w:lvl>
    <w:lvl w:ilvl="3">
      <w:start w:val="1"/>
      <w:numFmt w:val="decimal"/>
      <w:lvlText w:val="%4."/>
      <w:lvlJc w:val="left"/>
      <w:pPr>
        <w:ind w:left="2878" w:hanging="360"/>
      </w:pPr>
      <w:rPr>
        <w:vertAlign w:val="baseline"/>
      </w:rPr>
    </w:lvl>
    <w:lvl w:ilvl="4">
      <w:start w:val="1"/>
      <w:numFmt w:val="lowerLetter"/>
      <w:lvlText w:val="%5."/>
      <w:lvlJc w:val="left"/>
      <w:pPr>
        <w:ind w:left="3598" w:hanging="360"/>
      </w:pPr>
      <w:rPr>
        <w:vertAlign w:val="baseline"/>
      </w:rPr>
    </w:lvl>
    <w:lvl w:ilvl="5">
      <w:start w:val="1"/>
      <w:numFmt w:val="lowerRoman"/>
      <w:lvlText w:val="%6."/>
      <w:lvlJc w:val="right"/>
      <w:pPr>
        <w:ind w:left="4318" w:hanging="180"/>
      </w:pPr>
      <w:rPr>
        <w:vertAlign w:val="baseline"/>
      </w:rPr>
    </w:lvl>
    <w:lvl w:ilvl="6">
      <w:start w:val="1"/>
      <w:numFmt w:val="decimal"/>
      <w:lvlText w:val="%7."/>
      <w:lvlJc w:val="left"/>
      <w:pPr>
        <w:ind w:left="5038" w:hanging="360"/>
      </w:pPr>
      <w:rPr>
        <w:vertAlign w:val="baseline"/>
      </w:rPr>
    </w:lvl>
    <w:lvl w:ilvl="7">
      <w:start w:val="1"/>
      <w:numFmt w:val="lowerLetter"/>
      <w:lvlText w:val="%8."/>
      <w:lvlJc w:val="left"/>
      <w:pPr>
        <w:ind w:left="5758" w:hanging="360"/>
      </w:pPr>
      <w:rPr>
        <w:vertAlign w:val="baseline"/>
      </w:rPr>
    </w:lvl>
    <w:lvl w:ilvl="8">
      <w:start w:val="1"/>
      <w:numFmt w:val="lowerRoman"/>
      <w:lvlText w:val="%9."/>
      <w:lvlJc w:val="right"/>
      <w:pPr>
        <w:ind w:left="6478" w:hanging="180"/>
      </w:pPr>
      <w:rPr>
        <w:vertAlign w:val="baseline"/>
      </w:rPr>
    </w:lvl>
  </w:abstractNum>
  <w:abstractNum w:abstractNumId="2" w15:restartNumberingAfterBreak="0">
    <w:nsid w:val="2BE77324"/>
    <w:multiLevelType w:val="multilevel"/>
    <w:tmpl w:val="199244F0"/>
    <w:lvl w:ilvl="0">
      <w:start w:val="1"/>
      <w:numFmt w:val="upperRoman"/>
      <w:lvlText w:val="%1."/>
      <w:lvlJc w:val="right"/>
      <w:pPr>
        <w:ind w:left="720" w:hanging="360"/>
      </w:pPr>
      <w:rPr>
        <w:b/>
        <w:u w:val="none"/>
      </w:rPr>
    </w:lvl>
    <w:lvl w:ilvl="1">
      <w:start w:val="1"/>
      <w:numFmt w:val="lowerLetter"/>
      <w:lvlText w:val="."/>
      <w:lvlJc w:val="left"/>
      <w:pPr>
        <w:ind w:left="1440" w:hanging="360"/>
      </w:pPr>
      <w:rPr>
        <w:rFonts w:cs="Times New Roman"/>
        <w:u w:val="none"/>
      </w:rPr>
    </w:lvl>
    <w:lvl w:ilvl="2">
      <w:start w:val="1"/>
      <w:numFmt w:val="lowerRoman"/>
      <w:lvlText w:val="."/>
      <w:lvlJc w:val="right"/>
      <w:pPr>
        <w:ind w:left="2160" w:hanging="360"/>
      </w:pPr>
      <w:rPr>
        <w:rFonts w:cs="Times New Roman"/>
        <w:u w:val="none"/>
      </w:rPr>
    </w:lvl>
    <w:lvl w:ilvl="3">
      <w:start w:val="1"/>
      <w:numFmt w:val="decimal"/>
      <w:lvlText w:val="."/>
      <w:lvlJc w:val="left"/>
      <w:pPr>
        <w:ind w:left="2880" w:hanging="360"/>
      </w:pPr>
      <w:rPr>
        <w:rFonts w:cs="Times New Roman"/>
        <w:u w:val="none"/>
      </w:rPr>
    </w:lvl>
    <w:lvl w:ilvl="4">
      <w:start w:val="1"/>
      <w:numFmt w:val="lowerLetter"/>
      <w:lvlText w:val="."/>
      <w:lvlJc w:val="left"/>
      <w:pPr>
        <w:ind w:left="3600" w:hanging="360"/>
      </w:pPr>
      <w:rPr>
        <w:rFonts w:cs="Times New Roman"/>
        <w:u w:val="none"/>
      </w:rPr>
    </w:lvl>
    <w:lvl w:ilvl="5">
      <w:start w:val="1"/>
      <w:numFmt w:val="lowerRoman"/>
      <w:lvlText w:val="."/>
      <w:lvlJc w:val="right"/>
      <w:pPr>
        <w:ind w:left="4320" w:hanging="360"/>
      </w:pPr>
      <w:rPr>
        <w:rFonts w:cs="Times New Roman"/>
        <w:u w:val="none"/>
      </w:rPr>
    </w:lvl>
    <w:lvl w:ilvl="6">
      <w:start w:val="1"/>
      <w:numFmt w:val="decimal"/>
      <w:lvlText w:val="."/>
      <w:lvlJc w:val="left"/>
      <w:pPr>
        <w:ind w:left="5040" w:hanging="360"/>
      </w:pPr>
      <w:rPr>
        <w:rFonts w:cs="Times New Roman"/>
        <w:u w:val="none"/>
      </w:rPr>
    </w:lvl>
    <w:lvl w:ilvl="7">
      <w:start w:val="1"/>
      <w:numFmt w:val="lowerLetter"/>
      <w:lvlText w:val="."/>
      <w:lvlJc w:val="left"/>
      <w:pPr>
        <w:ind w:left="5760" w:hanging="360"/>
      </w:pPr>
      <w:rPr>
        <w:rFonts w:cs="Times New Roman"/>
        <w:u w:val="none"/>
      </w:rPr>
    </w:lvl>
    <w:lvl w:ilvl="8">
      <w:start w:val="1"/>
      <w:numFmt w:val="lowerRoman"/>
      <w:lvlText w:val="."/>
      <w:lvlJc w:val="right"/>
      <w:pPr>
        <w:ind w:left="6480" w:hanging="360"/>
      </w:pPr>
      <w:rPr>
        <w:rFonts w:cs="Times New Roman"/>
        <w:u w:val="none"/>
      </w:rPr>
    </w:lvl>
  </w:abstractNum>
  <w:abstractNum w:abstractNumId="3" w15:restartNumberingAfterBreak="0">
    <w:nsid w:val="2DE2035A"/>
    <w:multiLevelType w:val="multilevel"/>
    <w:tmpl w:val="910852CC"/>
    <w:lvl w:ilvl="0">
      <w:start w:val="1"/>
      <w:numFmt w:val="decimal"/>
      <w:lvlText w:val="%1."/>
      <w:lvlJc w:val="left"/>
      <w:pPr>
        <w:ind w:left="718" w:hanging="360"/>
      </w:pPr>
      <w:rPr>
        <w:vertAlign w:val="baseline"/>
      </w:rPr>
    </w:lvl>
    <w:lvl w:ilvl="1">
      <w:start w:val="1"/>
      <w:numFmt w:val="decimal"/>
      <w:lvlText w:val="%1.%2"/>
      <w:lvlJc w:val="left"/>
      <w:pPr>
        <w:ind w:left="821" w:hanging="463"/>
      </w:pPr>
      <w:rPr>
        <w:vertAlign w:val="baseline"/>
      </w:rPr>
    </w:lvl>
    <w:lvl w:ilvl="2">
      <w:start w:val="1"/>
      <w:numFmt w:val="decimal"/>
      <w:lvlText w:val="%1.%2.%3"/>
      <w:lvlJc w:val="left"/>
      <w:pPr>
        <w:ind w:left="1078" w:hanging="720"/>
      </w:pPr>
      <w:rPr>
        <w:vertAlign w:val="baseline"/>
      </w:rPr>
    </w:lvl>
    <w:lvl w:ilvl="3">
      <w:start w:val="1"/>
      <w:numFmt w:val="decimal"/>
      <w:lvlText w:val="%1.%2.%3.%4"/>
      <w:lvlJc w:val="left"/>
      <w:pPr>
        <w:ind w:left="1078" w:hanging="720"/>
      </w:pPr>
      <w:rPr>
        <w:vertAlign w:val="baseline"/>
      </w:rPr>
    </w:lvl>
    <w:lvl w:ilvl="4">
      <w:start w:val="1"/>
      <w:numFmt w:val="decimal"/>
      <w:lvlText w:val="%1.%2.%3.%4.%5"/>
      <w:lvlJc w:val="left"/>
      <w:pPr>
        <w:ind w:left="1438" w:hanging="1080"/>
      </w:pPr>
      <w:rPr>
        <w:vertAlign w:val="baseline"/>
      </w:rPr>
    </w:lvl>
    <w:lvl w:ilvl="5">
      <w:start w:val="1"/>
      <w:numFmt w:val="decimal"/>
      <w:lvlText w:val="%1.%2.%3.%4.%5.%6"/>
      <w:lvlJc w:val="left"/>
      <w:pPr>
        <w:ind w:left="1438" w:hanging="1080"/>
      </w:pPr>
      <w:rPr>
        <w:vertAlign w:val="baseline"/>
      </w:rPr>
    </w:lvl>
    <w:lvl w:ilvl="6">
      <w:start w:val="1"/>
      <w:numFmt w:val="decimal"/>
      <w:lvlText w:val="%1.%2.%3.%4.%5.%6.%7"/>
      <w:lvlJc w:val="left"/>
      <w:pPr>
        <w:ind w:left="1798" w:hanging="1440"/>
      </w:pPr>
      <w:rPr>
        <w:vertAlign w:val="baseline"/>
      </w:rPr>
    </w:lvl>
    <w:lvl w:ilvl="7">
      <w:start w:val="1"/>
      <w:numFmt w:val="decimal"/>
      <w:lvlText w:val="%1.%2.%3.%4.%5.%6.%7.%8"/>
      <w:lvlJc w:val="left"/>
      <w:pPr>
        <w:ind w:left="1798" w:hanging="1440"/>
      </w:pPr>
      <w:rPr>
        <w:vertAlign w:val="baseline"/>
      </w:rPr>
    </w:lvl>
    <w:lvl w:ilvl="8">
      <w:start w:val="1"/>
      <w:numFmt w:val="decimal"/>
      <w:lvlText w:val="%1.%2.%3.%4.%5.%6.%7.%8.%9"/>
      <w:lvlJc w:val="left"/>
      <w:pPr>
        <w:ind w:left="2158" w:hanging="1800"/>
      </w:pPr>
      <w:rPr>
        <w:vertAlign w:val="baseline"/>
      </w:rPr>
    </w:lvl>
  </w:abstractNum>
  <w:abstractNum w:abstractNumId="4" w15:restartNumberingAfterBreak="0">
    <w:nsid w:val="419F3DF9"/>
    <w:multiLevelType w:val="multilevel"/>
    <w:tmpl w:val="30663FAC"/>
    <w:lvl w:ilvl="0">
      <w:start w:val="1"/>
      <w:numFmt w:val="decimal"/>
      <w:lvlText w:val="%1."/>
      <w:lvlJc w:val="left"/>
      <w:pPr>
        <w:ind w:left="360" w:hanging="360"/>
      </w:pPr>
      <w:rPr>
        <w:rFonts w:hint="default"/>
        <w:vertAlign w:val="baseline"/>
      </w:rPr>
    </w:lvl>
    <w:lvl w:ilvl="1">
      <w:start w:val="1"/>
      <w:numFmt w:val="decimal"/>
      <w:lvlText w:val="%1.%2."/>
      <w:lvlJc w:val="left"/>
      <w:pPr>
        <w:ind w:left="718" w:hanging="720"/>
      </w:pPr>
      <w:rPr>
        <w:rFonts w:hint="default"/>
        <w:vertAlign w:val="baseline"/>
      </w:rPr>
    </w:lvl>
    <w:lvl w:ilvl="2">
      <w:start w:val="1"/>
      <w:numFmt w:val="decimal"/>
      <w:lvlText w:val="%1.%2.%3."/>
      <w:lvlJc w:val="left"/>
      <w:pPr>
        <w:ind w:left="716" w:hanging="720"/>
      </w:pPr>
      <w:rPr>
        <w:rFonts w:hint="default"/>
        <w:vertAlign w:val="baseline"/>
      </w:rPr>
    </w:lvl>
    <w:lvl w:ilvl="3">
      <w:start w:val="1"/>
      <w:numFmt w:val="decimal"/>
      <w:lvlText w:val="%1.%2.%3.%4."/>
      <w:lvlJc w:val="left"/>
      <w:pPr>
        <w:ind w:left="1074" w:hanging="1080"/>
      </w:pPr>
      <w:rPr>
        <w:rFonts w:hint="default"/>
        <w:vertAlign w:val="baseline"/>
      </w:rPr>
    </w:lvl>
    <w:lvl w:ilvl="4">
      <w:start w:val="1"/>
      <w:numFmt w:val="decimal"/>
      <w:lvlText w:val="%1.%2.%3.%4.%5."/>
      <w:lvlJc w:val="left"/>
      <w:pPr>
        <w:ind w:left="1072" w:hanging="1080"/>
      </w:pPr>
      <w:rPr>
        <w:rFonts w:hint="default"/>
        <w:vertAlign w:val="baseline"/>
      </w:rPr>
    </w:lvl>
    <w:lvl w:ilvl="5">
      <w:start w:val="1"/>
      <w:numFmt w:val="decimal"/>
      <w:lvlText w:val="%1.%2.%3.%4.%5.%6."/>
      <w:lvlJc w:val="left"/>
      <w:pPr>
        <w:ind w:left="1430" w:hanging="1440"/>
      </w:pPr>
      <w:rPr>
        <w:rFonts w:hint="default"/>
        <w:vertAlign w:val="baseline"/>
      </w:rPr>
    </w:lvl>
    <w:lvl w:ilvl="6">
      <w:start w:val="1"/>
      <w:numFmt w:val="decimal"/>
      <w:lvlText w:val="%1.%2.%3.%4.%5.%6.%7."/>
      <w:lvlJc w:val="left"/>
      <w:pPr>
        <w:ind w:left="1428" w:hanging="1440"/>
      </w:pPr>
      <w:rPr>
        <w:rFonts w:hint="default"/>
        <w:vertAlign w:val="baseline"/>
      </w:rPr>
    </w:lvl>
    <w:lvl w:ilvl="7">
      <w:start w:val="1"/>
      <w:numFmt w:val="decimal"/>
      <w:lvlText w:val="%1.%2.%3.%4.%5.%6.%7.%8."/>
      <w:lvlJc w:val="left"/>
      <w:pPr>
        <w:ind w:left="1786" w:hanging="1800"/>
      </w:pPr>
      <w:rPr>
        <w:rFonts w:hint="default"/>
        <w:vertAlign w:val="baseline"/>
      </w:rPr>
    </w:lvl>
    <w:lvl w:ilvl="8">
      <w:start w:val="1"/>
      <w:numFmt w:val="decimal"/>
      <w:lvlText w:val="%1.%2.%3.%4.%5.%6.%7.%8.%9."/>
      <w:lvlJc w:val="left"/>
      <w:pPr>
        <w:ind w:left="1784" w:hanging="1800"/>
      </w:pPr>
      <w:rPr>
        <w:rFonts w:hint="default"/>
        <w:vertAlign w:val="baseline"/>
      </w:rPr>
    </w:lvl>
  </w:abstractNum>
  <w:abstractNum w:abstractNumId="5" w15:restartNumberingAfterBreak="0">
    <w:nsid w:val="43AE3A03"/>
    <w:multiLevelType w:val="multilevel"/>
    <w:tmpl w:val="AB28BC90"/>
    <w:lvl w:ilvl="0">
      <w:start w:val="2"/>
      <w:numFmt w:val="decimal"/>
      <w:lvlText w:val="%1."/>
      <w:lvlJc w:val="left"/>
      <w:pPr>
        <w:ind w:left="720" w:hanging="360"/>
      </w:pPr>
      <w:rPr>
        <w:b/>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15:restartNumberingAfterBreak="0">
    <w:nsid w:val="47647ABE"/>
    <w:multiLevelType w:val="multilevel"/>
    <w:tmpl w:val="53E0506C"/>
    <w:lvl w:ilvl="0">
      <w:start w:val="1"/>
      <w:numFmt w:val="lowerLetter"/>
      <w:lvlText w:val="%1)"/>
      <w:lvlJc w:val="left"/>
      <w:pPr>
        <w:ind w:left="1189" w:hanging="360"/>
      </w:pPr>
      <w:rPr>
        <w:vertAlign w:val="baseline"/>
      </w:rPr>
    </w:lvl>
    <w:lvl w:ilvl="1">
      <w:start w:val="1"/>
      <w:numFmt w:val="lowerLetter"/>
      <w:lvlText w:val="%2."/>
      <w:lvlJc w:val="left"/>
      <w:pPr>
        <w:ind w:left="1909" w:hanging="360"/>
      </w:pPr>
      <w:rPr>
        <w:vertAlign w:val="baseline"/>
      </w:rPr>
    </w:lvl>
    <w:lvl w:ilvl="2">
      <w:start w:val="1"/>
      <w:numFmt w:val="lowerRoman"/>
      <w:lvlText w:val="%3."/>
      <w:lvlJc w:val="right"/>
      <w:pPr>
        <w:ind w:left="2629" w:hanging="180"/>
      </w:pPr>
      <w:rPr>
        <w:vertAlign w:val="baseline"/>
      </w:rPr>
    </w:lvl>
    <w:lvl w:ilvl="3">
      <w:start w:val="1"/>
      <w:numFmt w:val="decimal"/>
      <w:lvlText w:val="%4."/>
      <w:lvlJc w:val="left"/>
      <w:pPr>
        <w:ind w:left="3349" w:hanging="360"/>
      </w:pPr>
      <w:rPr>
        <w:vertAlign w:val="baseline"/>
      </w:rPr>
    </w:lvl>
    <w:lvl w:ilvl="4">
      <w:start w:val="1"/>
      <w:numFmt w:val="lowerLetter"/>
      <w:lvlText w:val="%5."/>
      <w:lvlJc w:val="left"/>
      <w:pPr>
        <w:ind w:left="4069" w:hanging="360"/>
      </w:pPr>
      <w:rPr>
        <w:vertAlign w:val="baseline"/>
      </w:rPr>
    </w:lvl>
    <w:lvl w:ilvl="5">
      <w:start w:val="1"/>
      <w:numFmt w:val="lowerRoman"/>
      <w:lvlText w:val="%6."/>
      <w:lvlJc w:val="right"/>
      <w:pPr>
        <w:ind w:left="4789" w:hanging="180"/>
      </w:pPr>
      <w:rPr>
        <w:vertAlign w:val="baseline"/>
      </w:rPr>
    </w:lvl>
    <w:lvl w:ilvl="6">
      <w:start w:val="1"/>
      <w:numFmt w:val="decimal"/>
      <w:lvlText w:val="%7."/>
      <w:lvlJc w:val="left"/>
      <w:pPr>
        <w:ind w:left="5509" w:hanging="360"/>
      </w:pPr>
      <w:rPr>
        <w:vertAlign w:val="baseline"/>
      </w:rPr>
    </w:lvl>
    <w:lvl w:ilvl="7">
      <w:start w:val="1"/>
      <w:numFmt w:val="lowerLetter"/>
      <w:lvlText w:val="%8."/>
      <w:lvlJc w:val="left"/>
      <w:pPr>
        <w:ind w:left="6229" w:hanging="360"/>
      </w:pPr>
      <w:rPr>
        <w:vertAlign w:val="baseline"/>
      </w:rPr>
    </w:lvl>
    <w:lvl w:ilvl="8">
      <w:start w:val="1"/>
      <w:numFmt w:val="lowerRoman"/>
      <w:lvlText w:val="%9."/>
      <w:lvlJc w:val="right"/>
      <w:pPr>
        <w:ind w:left="6949" w:hanging="180"/>
      </w:pPr>
      <w:rPr>
        <w:vertAlign w:val="baseline"/>
      </w:rPr>
    </w:lvl>
  </w:abstractNum>
  <w:abstractNum w:abstractNumId="7" w15:restartNumberingAfterBreak="0">
    <w:nsid w:val="549E061F"/>
    <w:multiLevelType w:val="hybridMultilevel"/>
    <w:tmpl w:val="2722AF90"/>
    <w:lvl w:ilvl="0" w:tplc="2A8CC2E4">
      <w:start w:val="1"/>
      <w:numFmt w:val="decimal"/>
      <w:lvlText w:val="%1."/>
      <w:lvlJc w:val="left"/>
      <w:pPr>
        <w:ind w:left="1125" w:hanging="765"/>
      </w:pPr>
      <w:rPr>
        <w:rFonts w:eastAsia="Times New Roman" w:hint="default"/>
        <w:b/>
        <w:sz w:val="22"/>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5CCD7B7B"/>
    <w:multiLevelType w:val="multilevel"/>
    <w:tmpl w:val="D592DC8C"/>
    <w:lvl w:ilvl="0">
      <w:start w:val="1"/>
      <w:numFmt w:val="lowerRoman"/>
      <w:lvlText w:val="%1."/>
      <w:lvlJc w:val="right"/>
      <w:pPr>
        <w:ind w:left="1439" w:hanging="360"/>
      </w:pPr>
      <w:rPr>
        <w:vertAlign w:val="baseline"/>
      </w:rPr>
    </w:lvl>
    <w:lvl w:ilvl="1">
      <w:start w:val="1"/>
      <w:numFmt w:val="lowerLetter"/>
      <w:lvlText w:val="%2."/>
      <w:lvlJc w:val="left"/>
      <w:pPr>
        <w:ind w:left="2159" w:hanging="360"/>
      </w:pPr>
      <w:rPr>
        <w:vertAlign w:val="baseline"/>
      </w:rPr>
    </w:lvl>
    <w:lvl w:ilvl="2">
      <w:start w:val="1"/>
      <w:numFmt w:val="lowerRoman"/>
      <w:lvlText w:val="%3."/>
      <w:lvlJc w:val="right"/>
      <w:pPr>
        <w:ind w:left="2879" w:hanging="180"/>
      </w:pPr>
      <w:rPr>
        <w:vertAlign w:val="baseline"/>
      </w:rPr>
    </w:lvl>
    <w:lvl w:ilvl="3">
      <w:start w:val="1"/>
      <w:numFmt w:val="decimal"/>
      <w:lvlText w:val="%4."/>
      <w:lvlJc w:val="left"/>
      <w:pPr>
        <w:ind w:left="3599" w:hanging="360"/>
      </w:pPr>
      <w:rPr>
        <w:vertAlign w:val="baseline"/>
      </w:rPr>
    </w:lvl>
    <w:lvl w:ilvl="4">
      <w:start w:val="1"/>
      <w:numFmt w:val="lowerLetter"/>
      <w:lvlText w:val="%5."/>
      <w:lvlJc w:val="left"/>
      <w:pPr>
        <w:ind w:left="4319" w:hanging="360"/>
      </w:pPr>
      <w:rPr>
        <w:vertAlign w:val="baseline"/>
      </w:rPr>
    </w:lvl>
    <w:lvl w:ilvl="5">
      <w:start w:val="1"/>
      <w:numFmt w:val="lowerRoman"/>
      <w:lvlText w:val="%6."/>
      <w:lvlJc w:val="right"/>
      <w:pPr>
        <w:ind w:left="5039" w:hanging="180"/>
      </w:pPr>
      <w:rPr>
        <w:vertAlign w:val="baseline"/>
      </w:rPr>
    </w:lvl>
    <w:lvl w:ilvl="6">
      <w:start w:val="1"/>
      <w:numFmt w:val="decimal"/>
      <w:lvlText w:val="%7."/>
      <w:lvlJc w:val="left"/>
      <w:pPr>
        <w:ind w:left="5759" w:hanging="360"/>
      </w:pPr>
      <w:rPr>
        <w:vertAlign w:val="baseline"/>
      </w:rPr>
    </w:lvl>
    <w:lvl w:ilvl="7">
      <w:start w:val="1"/>
      <w:numFmt w:val="lowerLetter"/>
      <w:lvlText w:val="%8."/>
      <w:lvlJc w:val="left"/>
      <w:pPr>
        <w:ind w:left="6479" w:hanging="360"/>
      </w:pPr>
      <w:rPr>
        <w:vertAlign w:val="baseline"/>
      </w:rPr>
    </w:lvl>
    <w:lvl w:ilvl="8">
      <w:start w:val="1"/>
      <w:numFmt w:val="lowerRoman"/>
      <w:lvlText w:val="%9."/>
      <w:lvlJc w:val="right"/>
      <w:pPr>
        <w:ind w:left="7199" w:hanging="180"/>
      </w:pPr>
      <w:rPr>
        <w:vertAlign w:val="baseline"/>
      </w:rPr>
    </w:lvl>
  </w:abstractNum>
  <w:abstractNum w:abstractNumId="9" w15:restartNumberingAfterBreak="0">
    <w:nsid w:val="5FA34A47"/>
    <w:multiLevelType w:val="multilevel"/>
    <w:tmpl w:val="AF3C1CAC"/>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16cid:durableId="241839828">
    <w:abstractNumId w:val="7"/>
  </w:num>
  <w:num w:numId="2" w16cid:durableId="980110124">
    <w:abstractNumId w:val="0"/>
  </w:num>
  <w:num w:numId="3" w16cid:durableId="357321294">
    <w:abstractNumId w:val="2"/>
  </w:num>
  <w:num w:numId="4" w16cid:durableId="1571960579">
    <w:abstractNumId w:val="1"/>
  </w:num>
  <w:num w:numId="5" w16cid:durableId="1041898607">
    <w:abstractNumId w:val="9"/>
  </w:num>
  <w:num w:numId="6" w16cid:durableId="396712410">
    <w:abstractNumId w:val="3"/>
  </w:num>
  <w:num w:numId="7" w16cid:durableId="1544636954">
    <w:abstractNumId w:val="4"/>
  </w:num>
  <w:num w:numId="8" w16cid:durableId="214657436">
    <w:abstractNumId w:val="6"/>
  </w:num>
  <w:num w:numId="9" w16cid:durableId="1259414149">
    <w:abstractNumId w:val="5"/>
  </w:num>
  <w:num w:numId="10" w16cid:durableId="21406825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F26"/>
    <w:rsid w:val="002A087E"/>
    <w:rsid w:val="002C47A0"/>
    <w:rsid w:val="00612352"/>
    <w:rsid w:val="0085678D"/>
    <w:rsid w:val="00927F26"/>
    <w:rsid w:val="00970783"/>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8953BA"/>
  <w15:chartTrackingRefBased/>
  <w15:docId w15:val="{DB36AD4B-FAF4-4D83-8D4A-BDD7178BA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7F26"/>
    <w:rPr>
      <w:rFonts w:ascii="Aptos" w:eastAsia="Aptos" w:hAnsi="Aptos" w:cs="Times New Roman"/>
      <w:kern w:val="0"/>
      <w14:ligatures w14:val="none"/>
    </w:rPr>
  </w:style>
  <w:style w:type="paragraph" w:styleId="Ttulo1">
    <w:name w:val="heading 1"/>
    <w:basedOn w:val="Normal"/>
    <w:next w:val="Normal"/>
    <w:link w:val="Ttulo1Car"/>
    <w:uiPriority w:val="9"/>
    <w:qFormat/>
    <w:rsid w:val="00927F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27F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27F2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27F2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27F2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27F2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27F2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27F2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27F2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27F2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27F2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27F2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27F2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27F2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27F2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27F2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27F2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27F26"/>
    <w:rPr>
      <w:rFonts w:eastAsiaTheme="majorEastAsia" w:cstheme="majorBidi"/>
      <w:color w:val="272727" w:themeColor="text1" w:themeTint="D8"/>
    </w:rPr>
  </w:style>
  <w:style w:type="paragraph" w:styleId="Ttulo">
    <w:name w:val="Title"/>
    <w:basedOn w:val="Normal"/>
    <w:next w:val="Normal"/>
    <w:link w:val="TtuloCar"/>
    <w:uiPriority w:val="10"/>
    <w:qFormat/>
    <w:rsid w:val="00927F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27F2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27F2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27F2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27F26"/>
    <w:pPr>
      <w:spacing w:before="160"/>
      <w:jc w:val="center"/>
    </w:pPr>
    <w:rPr>
      <w:i/>
      <w:iCs/>
      <w:color w:val="404040" w:themeColor="text1" w:themeTint="BF"/>
    </w:rPr>
  </w:style>
  <w:style w:type="character" w:customStyle="1" w:styleId="CitaCar">
    <w:name w:val="Cita Car"/>
    <w:basedOn w:val="Fuentedeprrafopredeter"/>
    <w:link w:val="Cita"/>
    <w:uiPriority w:val="29"/>
    <w:rsid w:val="00927F26"/>
    <w:rPr>
      <w:i/>
      <w:iCs/>
      <w:color w:val="404040" w:themeColor="text1" w:themeTint="BF"/>
    </w:rPr>
  </w:style>
  <w:style w:type="paragraph" w:styleId="Prrafodelista">
    <w:name w:val="List Paragraph"/>
    <w:aliases w:val="texto con viñeta,Tablas"/>
    <w:basedOn w:val="Normal"/>
    <w:link w:val="PrrafodelistaCar"/>
    <w:uiPriority w:val="34"/>
    <w:qFormat/>
    <w:rsid w:val="00927F26"/>
    <w:pPr>
      <w:ind w:left="720"/>
      <w:contextualSpacing/>
    </w:pPr>
  </w:style>
  <w:style w:type="character" w:styleId="nfasisintenso">
    <w:name w:val="Intense Emphasis"/>
    <w:basedOn w:val="Fuentedeprrafopredeter"/>
    <w:uiPriority w:val="21"/>
    <w:qFormat/>
    <w:rsid w:val="00927F26"/>
    <w:rPr>
      <w:i/>
      <w:iCs/>
      <w:color w:val="0F4761" w:themeColor="accent1" w:themeShade="BF"/>
    </w:rPr>
  </w:style>
  <w:style w:type="paragraph" w:styleId="Citadestacada">
    <w:name w:val="Intense Quote"/>
    <w:basedOn w:val="Normal"/>
    <w:next w:val="Normal"/>
    <w:link w:val="CitadestacadaCar"/>
    <w:uiPriority w:val="30"/>
    <w:qFormat/>
    <w:rsid w:val="00927F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27F26"/>
    <w:rPr>
      <w:i/>
      <w:iCs/>
      <w:color w:val="0F4761" w:themeColor="accent1" w:themeShade="BF"/>
    </w:rPr>
  </w:style>
  <w:style w:type="character" w:styleId="Referenciaintensa">
    <w:name w:val="Intense Reference"/>
    <w:basedOn w:val="Fuentedeprrafopredeter"/>
    <w:uiPriority w:val="32"/>
    <w:qFormat/>
    <w:rsid w:val="00927F26"/>
    <w:rPr>
      <w:b/>
      <w:bCs/>
      <w:smallCaps/>
      <w:color w:val="0F4761" w:themeColor="accent1" w:themeShade="BF"/>
      <w:spacing w:val="5"/>
    </w:rPr>
  </w:style>
  <w:style w:type="paragraph" w:styleId="Piedepgina">
    <w:name w:val="footer"/>
    <w:basedOn w:val="Normal"/>
    <w:link w:val="PiedepginaCar"/>
    <w:uiPriority w:val="99"/>
    <w:unhideWhenUsed/>
    <w:rsid w:val="00927F26"/>
    <w:pPr>
      <w:tabs>
        <w:tab w:val="center" w:pos="4419"/>
        <w:tab w:val="right" w:pos="8838"/>
      </w:tabs>
      <w:spacing w:after="0" w:line="240" w:lineRule="auto"/>
    </w:pPr>
    <w:rPr>
      <w:rFonts w:ascii="Cambria" w:eastAsia="Cambria" w:hAnsi="Cambria" w:cs="Cambria"/>
      <w:sz w:val="24"/>
      <w:szCs w:val="24"/>
      <w:lang w:val="es-ES_tradnl" w:eastAsia="es-CR"/>
    </w:rPr>
  </w:style>
  <w:style w:type="character" w:customStyle="1" w:styleId="PiedepginaCar">
    <w:name w:val="Pie de página Car"/>
    <w:basedOn w:val="Fuentedeprrafopredeter"/>
    <w:link w:val="Piedepgina"/>
    <w:uiPriority w:val="99"/>
    <w:rsid w:val="00927F26"/>
    <w:rPr>
      <w:rFonts w:ascii="Cambria" w:eastAsia="Cambria" w:hAnsi="Cambria" w:cs="Cambria"/>
      <w:kern w:val="0"/>
      <w:sz w:val="24"/>
      <w:szCs w:val="24"/>
      <w:lang w:val="es-ES_tradnl" w:eastAsia="es-CR"/>
      <w14:ligatures w14:val="none"/>
    </w:rPr>
  </w:style>
  <w:style w:type="character" w:styleId="Hipervnculo">
    <w:name w:val="Hyperlink"/>
    <w:unhideWhenUsed/>
    <w:qFormat/>
    <w:rsid w:val="00927F26"/>
    <w:rPr>
      <w:color w:val="467886"/>
      <w:u w:val="single"/>
    </w:rPr>
  </w:style>
  <w:style w:type="character" w:customStyle="1" w:styleId="PrrafodelistaCar">
    <w:name w:val="Párrafo de lista Car"/>
    <w:aliases w:val="texto con viñeta Car,Tablas Car"/>
    <w:link w:val="Prrafodelista"/>
    <w:uiPriority w:val="34"/>
    <w:qFormat/>
    <w:locked/>
    <w:rsid w:val="00927F26"/>
    <w:rPr>
      <w:rFonts w:ascii="Aptos" w:eastAsia="Aptos" w:hAnsi="Aptos"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mailto:contabilidad@una.cr"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mailto:almacen@una.c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hyperlink" Target="https://cgrfiles.cgr.go.cr/publico/docsweb/documentos/leyes-reglamentos/ley-contra-corrupcion.pdf" TargetMode="External"/><Relationship Id="rId5" Type="http://schemas.openxmlformats.org/officeDocument/2006/relationships/hyperlink" Target="https://agd.una.ac.cr/share/s/dzzXUTrwQOOEsj08-jiVmQ" TargetMode="External"/><Relationship Id="rId15" Type="http://schemas.openxmlformats.org/officeDocument/2006/relationships/theme" Target="theme/theme1.xml"/><Relationship Id="rId10" Type="http://schemas.openxmlformats.org/officeDocument/2006/relationships/hyperlink" Target="https://cgrfiles.cgr.go.cr/publico/docsweb/documentos/leyes-reglamentos/ley-refrendo-contrataciones-administracion-publica.pdf" TargetMode="Externa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11</Pages>
  <Words>2848</Words>
  <Characters>14640</Characters>
  <Application>Microsoft Office Word</Application>
  <DocSecurity>0</DocSecurity>
  <Lines>813</Lines>
  <Paragraphs>920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2025-10-31T15:04:00Z</dcterms:created>
  <dcterms:modified xsi:type="dcterms:W3CDTF">2025-10-31T15:24:00Z</dcterms:modified>
</cp:coreProperties>
</file>